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theme/theme1.xml" ContentType="application/vnd.openxmlformats-officedocument.theme+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word/commentsIds.xml" ContentType="application/vnd.openxmlformats-officedocument.wordprocessingml.commentsIds+xml"/>
  <Override PartName="/word/commentsExtended.xml" ContentType="application/vnd.openxmlformats-officedocument.wordprocessingml.commentsExtended+xml"/>
  <Override PartName="/word/people.xml" ContentType="application/vnd.openxmlformats-officedocument.wordprocessingml.people+xml"/>
  <Override PartName="/word/header.xml" ContentType="application/vnd.openxmlformats-officedocument.wordprocessingml.header+xml"/>
  <Override PartName="/word/footer.xml" ContentType="application/vnd.openxmlformats-officedocument.wordprocessingml.foot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ody>
    <w:p xmlns:wp14="http://schemas.microsoft.com/office/word/2010/wordml" w:rsidP="182EC0C9" wp14:paraId="27409834" wp14:textId="472EC138">
      <w:pPr>
        <w:pStyle w:val="Heading1"/>
        <w:spacing w:before="322" w:beforeAutospacing="off" w:after="322" w:afterAutospacing="off"/>
        <w:jc w:val="center"/>
        <w:rPr>
          <w:rFonts w:ascii="Aptos" w:hAnsi="Aptos" w:eastAsia="Aptos" w:cs="Aptos"/>
          <w:b w:val="1"/>
          <w:bCs w:val="1"/>
          <w:noProof w:val="0"/>
          <w:sz w:val="22"/>
          <w:szCs w:val="22"/>
          <w:lang w:val="es-ES"/>
        </w:rPr>
      </w:pPr>
      <w:r w:rsidRPr="182EC0C9" w:rsidR="182EC0C9">
        <w:rPr>
          <w:rFonts w:ascii="Aptos" w:hAnsi="Aptos" w:eastAsia="Aptos" w:cs="Aptos"/>
          <w:b w:val="1"/>
          <w:bCs w:val="1"/>
          <w:noProof w:val="0"/>
          <w:sz w:val="22"/>
          <w:szCs w:val="22"/>
          <w:lang w:val="es-ES"/>
        </w:rPr>
        <w:t>El verdadero reto no es construir más viviendas, sino construir mejores ciudades</w:t>
      </w:r>
    </w:p>
    <w:p xmlns:wp14="http://schemas.microsoft.com/office/word/2010/wordml" w:rsidP="182EC0C9" wp14:paraId="3EED321E" wp14:textId="327FBA41">
      <w:pPr>
        <w:spacing w:before="240" w:beforeAutospacing="off" w:after="240" w:afterAutospacing="off"/>
        <w:jc w:val="both"/>
        <w:rPr>
          <w:rFonts w:ascii="Aptos" w:hAnsi="Aptos" w:eastAsia="Aptos" w:cs="Aptos"/>
          <w:noProof w:val="0"/>
          <w:sz w:val="20"/>
          <w:szCs w:val="20"/>
          <w:lang w:val="es-ES"/>
        </w:rPr>
      </w:pPr>
      <w:r w:rsidRPr="182EC0C9" w:rsidR="182EC0C9">
        <w:rPr>
          <w:rFonts w:ascii="Aptos" w:hAnsi="Aptos" w:eastAsia="Aptos" w:cs="Aptos"/>
          <w:noProof w:val="0"/>
          <w:sz w:val="20"/>
          <w:szCs w:val="20"/>
          <w:lang w:val="es-ES"/>
        </w:rPr>
        <w:t>México necesita construir más viviendas. En eso existe un amplio consenso. El crecimiento de las ciudades, el aumento en los precios de compra y renta, así como el déficit habitacional que enfrenta el país, hacen evidente que ampliar la oferta es una necesidad urgente.</w:t>
      </w:r>
    </w:p>
    <w:p xmlns:wp14="http://schemas.microsoft.com/office/word/2010/wordml" w:rsidP="182EC0C9" wp14:paraId="288E297D" wp14:textId="6EA7DC72">
      <w:pPr>
        <w:spacing w:before="240" w:beforeAutospacing="off" w:after="240" w:afterAutospacing="off"/>
        <w:jc w:val="both"/>
        <w:rPr>
          <w:rFonts w:ascii="Aptos" w:hAnsi="Aptos" w:eastAsia="Aptos" w:cs="Aptos"/>
          <w:noProof w:val="0"/>
          <w:sz w:val="20"/>
          <w:szCs w:val="20"/>
          <w:lang w:val="es-ES"/>
        </w:rPr>
      </w:pPr>
      <w:r w:rsidRPr="182EC0C9" w:rsidR="182EC0C9">
        <w:rPr>
          <w:rFonts w:ascii="Aptos" w:hAnsi="Aptos" w:eastAsia="Aptos" w:cs="Aptos"/>
          <w:noProof w:val="0"/>
          <w:sz w:val="20"/>
          <w:szCs w:val="20"/>
          <w:lang w:val="es-ES"/>
        </w:rPr>
        <w:t>Pero si el desafío consiste únicamente en construir más, corremos el riesgo de repetir los errores del pasado.</w:t>
      </w:r>
    </w:p>
    <w:p xmlns:wp14="http://schemas.microsoft.com/office/word/2010/wordml" w:rsidP="182EC0C9" wp14:paraId="19754DD9" wp14:textId="1E1E53F1">
      <w:pPr>
        <w:spacing w:before="240" w:beforeAutospacing="off" w:after="240" w:afterAutospacing="off"/>
        <w:jc w:val="both"/>
        <w:rPr>
          <w:rFonts w:ascii="Aptos" w:hAnsi="Aptos" w:eastAsia="Aptos" w:cs="Aptos"/>
          <w:noProof w:val="0"/>
          <w:sz w:val="20"/>
          <w:szCs w:val="20"/>
          <w:lang w:val="es-ES"/>
        </w:rPr>
      </w:pPr>
      <w:r w:rsidRPr="182EC0C9" w:rsidR="182EC0C9">
        <w:rPr>
          <w:rFonts w:ascii="Aptos" w:hAnsi="Aptos" w:eastAsia="Aptos" w:cs="Aptos"/>
          <w:noProof w:val="0"/>
          <w:sz w:val="20"/>
          <w:szCs w:val="20"/>
          <w:lang w:val="es-ES"/>
        </w:rPr>
        <w:t>La vivienda no solo resuelve una necesidad individual; también moldea la ciudad que habitaremos durante las próximas décadas. Cada desarrollo que hoy se construye definirá la forma en que nos moveremos, consumiremos agua y energía, conviviremos con la naturaleza e, incluso, la calidad de vida de quienes lo habiten.</w:t>
      </w:r>
    </w:p>
    <w:p xmlns:wp14="http://schemas.microsoft.com/office/word/2010/wordml" w:rsidP="182EC0C9" wp14:paraId="6F9BF2A3" wp14:textId="4FA6685D">
      <w:pPr>
        <w:spacing w:before="240" w:beforeAutospacing="off" w:after="240" w:afterAutospacing="off"/>
        <w:jc w:val="both"/>
        <w:rPr>
          <w:rFonts w:ascii="Aptos" w:hAnsi="Aptos" w:eastAsia="Aptos" w:cs="Aptos"/>
          <w:noProof w:val="0"/>
          <w:sz w:val="20"/>
          <w:szCs w:val="20"/>
          <w:lang w:val="es-ES"/>
        </w:rPr>
      </w:pPr>
      <w:r w:rsidRPr="182EC0C9" w:rsidR="182EC0C9">
        <w:rPr>
          <w:rFonts w:ascii="Aptos" w:hAnsi="Aptos" w:eastAsia="Aptos" w:cs="Aptos"/>
          <w:noProof w:val="0"/>
          <w:sz w:val="20"/>
          <w:szCs w:val="20"/>
          <w:lang w:val="es-ES"/>
        </w:rPr>
        <w:t>Durante mucho tiempo, el éxito de un proyecto inmobiliario se midió por indicadores relativamente simples: el número de viviendas construidas, la velocidad de comercialización o el aprovechamiento del suelo. Hoy, esos parámetros resultan insuficientes frente a desafíos mucho más complejos.</w:t>
      </w:r>
    </w:p>
    <w:p xmlns:wp14="http://schemas.microsoft.com/office/word/2010/wordml" w:rsidP="182EC0C9" wp14:paraId="6D7B7330" wp14:textId="11C11278">
      <w:pPr>
        <w:spacing w:before="240" w:beforeAutospacing="off" w:after="240" w:afterAutospacing="off"/>
        <w:jc w:val="both"/>
        <w:rPr>
          <w:rFonts w:ascii="Aptos" w:hAnsi="Aptos" w:eastAsia="Aptos" w:cs="Aptos"/>
          <w:noProof w:val="0"/>
          <w:sz w:val="20"/>
          <w:szCs w:val="20"/>
          <w:lang w:val="es-ES"/>
        </w:rPr>
      </w:pPr>
      <w:r w:rsidRPr="182EC0C9" w:rsidR="182EC0C9">
        <w:rPr>
          <w:rFonts w:ascii="Aptos" w:hAnsi="Aptos" w:eastAsia="Aptos" w:cs="Aptos"/>
          <w:noProof w:val="0"/>
          <w:sz w:val="20"/>
          <w:szCs w:val="20"/>
          <w:lang w:val="es-ES"/>
        </w:rPr>
        <w:t>La escasez de agua, las olas de calor, la pérdida de biodiversidad, los largos tiempos de traslado y la creciente evidencia sobre el impacto del entorno construido en la salud física y emocional están transformando la manera en que entendemos el concepto de hogar.</w:t>
      </w:r>
    </w:p>
    <w:p xmlns:wp14="http://schemas.microsoft.com/office/word/2010/wordml" w:rsidP="182EC0C9" wp14:paraId="680062ED" wp14:textId="04C5A9DC">
      <w:pPr>
        <w:spacing w:before="240" w:beforeAutospacing="off" w:after="240" w:afterAutospacing="off"/>
        <w:jc w:val="both"/>
        <w:rPr>
          <w:rFonts w:ascii="Aptos" w:hAnsi="Aptos" w:eastAsia="Aptos" w:cs="Aptos"/>
          <w:noProof w:val="0"/>
          <w:sz w:val="20"/>
          <w:szCs w:val="20"/>
          <w:lang w:val="es-ES"/>
        </w:rPr>
      </w:pPr>
      <w:r w:rsidRPr="182EC0C9" w:rsidR="182EC0C9">
        <w:rPr>
          <w:rFonts w:ascii="Aptos" w:hAnsi="Aptos" w:eastAsia="Aptos" w:cs="Aptos"/>
          <w:noProof w:val="0"/>
          <w:sz w:val="20"/>
          <w:szCs w:val="20"/>
          <w:lang w:val="es-ES"/>
        </w:rPr>
        <w:t>En ese contexto, la vivienda deja de ser únicamente un espacio privado para convertirse en una pieza fundamental del funcionamiento de una ciudad. La orientación de un edificio, el manejo del agua, la conservación de áreas verdes, la movilidad o la calidad de los espacios comunes son decisiones de diseño que trascienden a quienes habitan un desarrollo y terminan influyendo en el bienestar colectivo.</w:t>
      </w:r>
    </w:p>
    <w:p xmlns:wp14="http://schemas.microsoft.com/office/word/2010/wordml" w:rsidP="182EC0C9" wp14:paraId="5F1AA232" wp14:textId="58A15C5D">
      <w:pPr>
        <w:spacing w:before="240" w:beforeAutospacing="off" w:after="240" w:afterAutospacing="off"/>
        <w:jc w:val="both"/>
        <w:rPr>
          <w:rFonts w:ascii="Aptos" w:hAnsi="Aptos" w:eastAsia="Aptos" w:cs="Aptos"/>
          <w:noProof w:val="0"/>
          <w:sz w:val="20"/>
          <w:szCs w:val="20"/>
          <w:lang w:val="es-ES"/>
        </w:rPr>
      </w:pPr>
      <w:r w:rsidRPr="182EC0C9" w:rsidR="182EC0C9">
        <w:rPr>
          <w:rFonts w:ascii="Aptos" w:hAnsi="Aptos" w:eastAsia="Aptos" w:cs="Aptos"/>
          <w:noProof w:val="0"/>
          <w:sz w:val="20"/>
          <w:szCs w:val="20"/>
          <w:lang w:val="es-ES"/>
        </w:rPr>
        <w:t>Por eso, el verdadero reto para la industria inmobiliaria ya no consiste solo en responder a la demanda, sino en hacerlo con una visión de largo plazo. Las viviendas que hoy se desarrollen deberán ser capaces de adaptarse al cambio climático, consumir menos recursos, favorecer la biodiversidad y ofrecer entornos que promuevan la salud y la convivencia.</w:t>
      </w:r>
    </w:p>
    <w:p xmlns:wp14="http://schemas.microsoft.com/office/word/2010/wordml" w:rsidP="182EC0C9" wp14:paraId="6A515C44" wp14:textId="65630FFD">
      <w:pPr>
        <w:spacing w:before="240" w:beforeAutospacing="off" w:after="240" w:afterAutospacing="off"/>
        <w:jc w:val="both"/>
        <w:rPr>
          <w:rFonts w:ascii="Aptos" w:hAnsi="Aptos" w:eastAsia="Aptos" w:cs="Aptos"/>
          <w:noProof w:val="0"/>
          <w:sz w:val="20"/>
          <w:szCs w:val="20"/>
          <w:lang w:val="es-ES"/>
        </w:rPr>
      </w:pPr>
      <w:r w:rsidRPr="182EC0C9" w:rsidR="182EC0C9">
        <w:rPr>
          <w:rFonts w:ascii="Aptos" w:hAnsi="Aptos" w:eastAsia="Aptos" w:cs="Aptos"/>
          <w:noProof w:val="0"/>
          <w:sz w:val="20"/>
          <w:szCs w:val="20"/>
          <w:lang w:val="es-ES"/>
        </w:rPr>
        <w:t>La evolución de esta visión ha dado paso a un concepto todavía más ambicioso: la regeneración. Ya no basta con reducir el impacto ambiental de un proyecto; el objetivo comienza a ser restaurar los ecosistemas donde se construye, mejorar el ciclo del agua, fortalecer la biodiversidad y generar un beneficio tangible para el territorio.</w:t>
      </w:r>
    </w:p>
    <w:p xmlns:wp14="http://schemas.microsoft.com/office/word/2010/wordml" w:rsidP="182EC0C9" wp14:paraId="0759A204" wp14:textId="7A1326F4">
      <w:pPr>
        <w:spacing w:before="240" w:beforeAutospacing="off" w:after="240" w:afterAutospacing="off"/>
        <w:jc w:val="both"/>
        <w:rPr>
          <w:rFonts w:ascii="Aptos" w:hAnsi="Aptos" w:eastAsia="Aptos" w:cs="Aptos"/>
          <w:noProof w:val="0"/>
          <w:sz w:val="20"/>
          <w:szCs w:val="20"/>
          <w:lang w:val="es-ES"/>
        </w:rPr>
      </w:pPr>
      <w:r w:rsidRPr="182EC0C9" w:rsidR="182EC0C9">
        <w:rPr>
          <w:rFonts w:ascii="Aptos" w:hAnsi="Aptos" w:eastAsia="Aptos" w:cs="Aptos"/>
          <w:noProof w:val="0"/>
          <w:sz w:val="20"/>
          <w:szCs w:val="20"/>
          <w:lang w:val="es-ES"/>
        </w:rPr>
        <w:t>En México empiezan a surgir desarrollos que incorporan esta perspectiva desde su origen. Reserva Santa Fe es uno de ellos. Su propuesta parte de una idea sencilla, pero profundamente transformadora: la vivienda puede convertirse en una herramienta para regenerar el paisaje que ocupa y fortalecer la relación entre las personas y la naturaleza, en lugar de limitarse a minimizar su impacto.</w:t>
      </w:r>
    </w:p>
    <w:p xmlns:wp14="http://schemas.microsoft.com/office/word/2010/wordml" w:rsidP="182EC0C9" wp14:paraId="5707FDFF" wp14:textId="39A4805A">
      <w:pPr>
        <w:spacing w:before="240" w:beforeAutospacing="off" w:after="240" w:afterAutospacing="off"/>
        <w:jc w:val="both"/>
        <w:rPr>
          <w:rFonts w:ascii="Aptos" w:hAnsi="Aptos" w:eastAsia="Aptos" w:cs="Aptos"/>
          <w:noProof w:val="0"/>
          <w:sz w:val="20"/>
          <w:szCs w:val="20"/>
          <w:lang w:val="es-ES"/>
        </w:rPr>
      </w:pPr>
      <w:r w:rsidRPr="182EC0C9" w:rsidR="182EC0C9">
        <w:rPr>
          <w:rFonts w:ascii="Aptos" w:hAnsi="Aptos" w:eastAsia="Aptos" w:cs="Aptos"/>
          <w:noProof w:val="0"/>
          <w:sz w:val="20"/>
          <w:szCs w:val="20"/>
          <w:lang w:val="es-ES"/>
        </w:rPr>
        <w:t>La conversación sobre la vivienda seguirá girando, alrededor del acceso y la disponibilidad. Son desafíos urgentes que requieren soluciones de gran escala. Pero quizá haya llegado el momento de ampliar la discusión.</w:t>
      </w:r>
    </w:p>
    <w:p xmlns:wp14="http://schemas.microsoft.com/office/word/2010/wordml" w:rsidP="182EC0C9" wp14:paraId="4042B3FE" wp14:textId="3EED6BAD">
      <w:pPr>
        <w:spacing w:before="240" w:beforeAutospacing="off" w:after="240" w:afterAutospacing="off"/>
        <w:jc w:val="both"/>
        <w:rPr>
          <w:rFonts w:ascii="Aptos" w:hAnsi="Aptos" w:eastAsia="Aptos" w:cs="Aptos"/>
          <w:noProof w:val="0"/>
          <w:sz w:val="20"/>
          <w:szCs w:val="20"/>
          <w:lang w:val="es-ES"/>
        </w:rPr>
      </w:pPr>
      <w:r w:rsidRPr="182EC0C9" w:rsidR="182EC0C9">
        <w:rPr>
          <w:rFonts w:ascii="Aptos" w:hAnsi="Aptos" w:eastAsia="Aptos" w:cs="Aptos"/>
          <w:noProof w:val="0"/>
          <w:sz w:val="20"/>
          <w:szCs w:val="20"/>
          <w:lang w:val="es-ES"/>
        </w:rPr>
        <w:t>No solo deberíamos preguntarnos cuántas viviendas necesita México, sino qué ciudades queremos construir con ellas.</w:t>
      </w:r>
    </w:p>
    <w:p xmlns:wp14="http://schemas.microsoft.com/office/word/2010/wordml" w:rsidP="182EC0C9" wp14:paraId="77151185" wp14:textId="7A994135">
      <w:pPr>
        <w:spacing w:before="240" w:beforeAutospacing="off" w:after="240" w:afterAutospacing="off"/>
        <w:jc w:val="both"/>
        <w:rPr>
          <w:rFonts w:ascii="Aptos" w:hAnsi="Aptos" w:eastAsia="Aptos" w:cs="Aptos"/>
          <w:noProof w:val="0"/>
          <w:sz w:val="20"/>
          <w:szCs w:val="20"/>
          <w:lang w:val="es-ES"/>
        </w:rPr>
      </w:pPr>
      <w:r w:rsidRPr="182EC0C9" w:rsidR="182EC0C9">
        <w:rPr>
          <w:rFonts w:ascii="Aptos" w:hAnsi="Aptos" w:eastAsia="Aptos" w:cs="Aptos"/>
          <w:noProof w:val="0"/>
          <w:sz w:val="20"/>
          <w:szCs w:val="20"/>
          <w:lang w:val="es-ES"/>
        </w:rPr>
        <w:t>Porque las casas pueden durar décadas. Las decisiones urbanas, generaciones. Y el verdadero legado de la vivienda que construyamos hoy no será únicamente el número de hogares entregados, sino la calidad de vida que esas ciudades serán capaces de ofrecer dentro de cincuenta o cien años.</w:t>
      </w:r>
    </w:p>
    <w:p xmlns:wp14="http://schemas.microsoft.com/office/word/2010/wordml" wp14:paraId="5C1A07E2" wp14:textId="6F4A7573"/>
    <w:sectPr>
      <w:pgSz w:w="11906" w:h="16838" w:orient="portrait"/>
      <w:pgMar w:top="1440" w:right="1440" w:bottom="1440" w:left="1440" w:header="720" w:footer="720" w:gutter="0"/>
      <w:cols w:space="720"/>
      <w:docGrid w:linePitch="360"/>
      <w:headerReference w:type="default" r:id="R1c2c284227fd4fa2"/>
      <w:footerReference w:type="default" r:id="Rd9d45a5c31cf40ab"/>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xml><?xml version="1.0" encoding="utf-8"?>
<w:ft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005"/>
      <w:gridCol w:w="3005"/>
      <w:gridCol w:w="3005"/>
    </w:tblGrid>
    <w:tr w:rsidR="12F7191E" w:rsidTr="12F7191E" w14:paraId="5E3D91B4">
      <w:trPr>
        <w:trHeight w:val="300"/>
      </w:trPr>
      <w:tc>
        <w:tcPr>
          <w:tcW w:w="3005" w:type="dxa"/>
          <w:tcMar/>
        </w:tcPr>
        <w:p w:rsidR="12F7191E" w:rsidP="12F7191E" w:rsidRDefault="12F7191E" w14:paraId="342E6EE1" w14:textId="740D4FC4">
          <w:pPr>
            <w:pStyle w:val="Header"/>
            <w:bidi w:val="0"/>
            <w:ind w:left="-115"/>
            <w:jc w:val="left"/>
          </w:pPr>
        </w:p>
      </w:tc>
      <w:tc>
        <w:tcPr>
          <w:tcW w:w="3005" w:type="dxa"/>
          <w:tcMar/>
        </w:tcPr>
        <w:p w:rsidR="12F7191E" w:rsidP="12F7191E" w:rsidRDefault="12F7191E" w14:paraId="5A45ADD7" w14:textId="562023DD">
          <w:pPr>
            <w:pStyle w:val="Header"/>
            <w:bidi w:val="0"/>
            <w:jc w:val="center"/>
          </w:pPr>
        </w:p>
      </w:tc>
      <w:tc>
        <w:tcPr>
          <w:tcW w:w="3005" w:type="dxa"/>
          <w:tcMar/>
        </w:tcPr>
        <w:p w:rsidR="12F7191E" w:rsidP="12F7191E" w:rsidRDefault="12F7191E" w14:paraId="6C923F87" w14:textId="39194567">
          <w:pPr>
            <w:pStyle w:val="Header"/>
            <w:bidi w:val="0"/>
            <w:ind w:right="-115"/>
            <w:jc w:val="right"/>
          </w:pPr>
        </w:p>
      </w:tc>
    </w:tr>
  </w:tbl>
  <w:p w:rsidR="12F7191E" w:rsidP="12F7191E" w:rsidRDefault="12F7191E" w14:paraId="5C6A0196" w14:textId="000AE0B4">
    <w:pPr>
      <w:pStyle w:val="Footer"/>
      <w:bidi w:val="0"/>
    </w:pPr>
  </w:p>
</w:ftr>
</file>

<file path=word/header.xml><?xml version="1.0" encoding="utf-8"?>
<w:hdr xmlns:w14="http://schemas.microsoft.com/office/word/2010/wordml" xmlns:wp="http://schemas.openxmlformats.org/drawingml/2006/wordprocessingDrawing" xmlns:wp14="http://schemas.microsoft.com/office/word/2010/wordprocessingDrawing" xmlns:a="http://schemas.openxmlformats.org/drawingml/2006/main" xmlns:pic="http://schemas.openxmlformats.org/drawingml/2006/picture" xmlns:r="http://schemas.openxmlformats.org/officeDocument/2006/relationships" xmlns:a14="http://schemas.microsoft.com/office/drawing/2010/main" xmlns:w="http://schemas.openxmlformats.org/wordprocessingml/2006/main">
  <w:tbl>
    <w:tblPr>
      <w:tblStyle w:val="TableNormal"/>
      <w:bidiVisual w:val="0"/>
      <w:tblW w:w="0" w:type="auto"/>
      <w:tblLook w:val="06A0" w:firstRow="1" w:lastRow="0" w:firstColumn="1" w:lastColumn="0" w:noHBand="1" w:noVBand="1"/>
    </w:tblPr>
    <w:tblGrid>
      <w:gridCol w:w="3005"/>
      <w:gridCol w:w="3005"/>
      <w:gridCol w:w="3005"/>
    </w:tblGrid>
    <w:tr w:rsidR="12F7191E" w:rsidTr="12F7191E" w14:paraId="320A994E">
      <w:trPr>
        <w:trHeight w:val="300"/>
      </w:trPr>
      <w:tc>
        <w:tcPr>
          <w:tcW w:w="3005" w:type="dxa"/>
          <w:tcMar/>
        </w:tcPr>
        <w:p w:rsidR="12F7191E" w:rsidP="12F7191E" w:rsidRDefault="12F7191E" w14:paraId="06BC2EE9" w14:textId="7FA103F2">
          <w:pPr>
            <w:pStyle w:val="Header"/>
            <w:bidi w:val="0"/>
            <w:ind w:left="-115"/>
            <w:jc w:val="left"/>
          </w:pPr>
        </w:p>
      </w:tc>
      <w:tc>
        <w:tcPr>
          <w:tcW w:w="3005" w:type="dxa"/>
          <w:tcMar/>
        </w:tcPr>
        <w:p w:rsidR="12F7191E" w:rsidP="12F7191E" w:rsidRDefault="12F7191E" w14:paraId="0970960A" w14:textId="3FF095F0">
          <w:pPr>
            <w:pStyle w:val="Header"/>
            <w:bidi w:val="0"/>
            <w:jc w:val="center"/>
          </w:pPr>
          <w:r w:rsidR="12F7191E">
            <w:drawing>
              <wp:inline wp14:editId="44DB1715" wp14:anchorId="0E8C3C28">
                <wp:extent cx="1038225" cy="1038225"/>
                <wp:effectExtent l="0" t="0" r="0" b="0"/>
                <wp:docPr id="1991276916" name="drawing" title="Imagen"/>
                <wp:cNvGraphicFramePr>
                  <a:graphicFrameLocks noChangeAspect="1"/>
                </wp:cNvGraphicFramePr>
                <a:graphic>
                  <a:graphicData xmlns:a="http://schemas.openxmlformats.org/drawingml/2006/main" uri="http://schemas.openxmlformats.org/drawingml/2006/picture">
                    <pic:pic xmlns:pic="http://schemas.openxmlformats.org/drawingml/2006/picture">
                      <pic:nvPicPr xmlns:pic="http://schemas.openxmlformats.org/drawingml/2006/picture">
                        <pic:cNvPr xmlns:pic="http://schemas.openxmlformats.org/drawingml/2006/picture" id="1991276916" name="Picture 1991276916"/>
                        <pic:cNvPicPr xmlns:pic="http://schemas.openxmlformats.org/drawingml/2006/picture"/>
                      </pic:nvPicPr>
                      <pic:blipFill xmlns:pic="http://schemas.openxmlformats.org/drawingml/2006/picture">
                        <a:blip xmlns:r="http://schemas.openxmlformats.org/officeDocument/2006/relationships" xmlns:a="http://schemas.openxmlformats.org/drawingml/2006/main" r:embed="rId854057560">
                          <a:extLst xmlns:a="http://schemas.openxmlformats.org/drawingml/2006/main">
                            <a:ext xmlns:a="http://schemas.openxmlformats.org/drawingml/2006/main" uri="{28A0092B-C50C-407E-A947-70E740481C1C}">
                              <a14:useLocalDpi xmlns:a14="http://schemas.microsoft.com/office/drawing/2010/main"/>
                            </a:ext>
                          </a:extLst>
                        </a:blip>
                        <a:stretch xmlns:a="http://schemas.openxmlformats.org/drawingml/2006/main">
                          <a:fillRect xmlns:a="http://schemas.openxmlformats.org/drawingml/2006/main"/>
                        </a:stretch>
                      </pic:blipFill>
                      <pic:spPr xmlns:pic="http://schemas.openxmlformats.org/drawingml/2006/picture">
                        <a:xfrm xmlns:a="http://schemas.openxmlformats.org/drawingml/2006/main">
                          <a:off xmlns:a="http://schemas.openxmlformats.org/drawingml/2006/main" x="0" y="0"/>
                          <a:ext xmlns:a="http://schemas.openxmlformats.org/drawingml/2006/main" cx="1038225" cy="1038225"/>
                        </a:xfrm>
                        <a:prstGeom xmlns:a="http://schemas.openxmlformats.org/drawingml/2006/main" prst="rect">
                          <a:avLst xmlns:a="http://schemas.openxmlformats.org/drawingml/2006/main"/>
                        </a:prstGeom>
                      </pic:spPr>
                    </pic:pic>
                  </a:graphicData>
                </a:graphic>
              </wp:inline>
            </w:drawing>
          </w:r>
        </w:p>
      </w:tc>
      <w:tc>
        <w:tcPr>
          <w:tcW w:w="3005" w:type="dxa"/>
          <w:tcMar/>
        </w:tcPr>
        <w:p w:rsidR="12F7191E" w:rsidP="12F7191E" w:rsidRDefault="12F7191E" w14:paraId="6CD0D3FE" w14:textId="163B3AF6">
          <w:pPr>
            <w:pStyle w:val="Header"/>
            <w:bidi w:val="0"/>
            <w:ind w:right="-115"/>
            <w:jc w:val="right"/>
          </w:pPr>
        </w:p>
      </w:tc>
    </w:tr>
  </w:tbl>
  <w:p w:rsidR="12F7191E" w:rsidP="12F7191E" w:rsidRDefault="12F7191E" w14:paraId="6784021E" w14:textId="7A877F2A">
    <w:pPr>
      <w:pStyle w:val="Header"/>
      <w:bidi w:val="0"/>
    </w:pPr>
  </w:p>
</w:hdr>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AB20C6A"/>
    <w:rsid w:val="06D37352"/>
    <w:rsid w:val="0E714DE0"/>
    <w:rsid w:val="12F7191E"/>
    <w:rsid w:val="145CE41F"/>
    <w:rsid w:val="1598FE87"/>
    <w:rsid w:val="182EC0C9"/>
    <w:rsid w:val="229C481E"/>
    <w:rsid w:val="37A10684"/>
    <w:rsid w:val="37B0A028"/>
    <w:rsid w:val="3AB20C6A"/>
    <w:rsid w:val="3D4D0D06"/>
    <w:rsid w:val="4BDA7CC0"/>
    <w:rsid w:val="4BF47ECD"/>
    <w:rsid w:val="61E438F7"/>
    <w:rsid w:val="6463C633"/>
    <w:rsid w:val="672A905F"/>
    <w:rsid w:val="676965C3"/>
    <w:rsid w:val="68F6ADA5"/>
    <w:rsid w:val="6E8DA4F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6FD55B"/>
  <w15:chartTrackingRefBased/>
  <w15:docId w15:val="{56B50B0B-DA52-4FD4-B197-2C9C689AC4F3}"/>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HAnsi" w:cstheme="minorBidi"/>
        <w:sz w:val="24"/>
        <w:szCs w:val="24"/>
        <w:lang w:val="es-ES" w:eastAsia="en-US"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ing1">
    <w:uiPriority w:val="9"/>
    <w:name w:val="heading 1"/>
    <w:basedOn w:val="Normal"/>
    <w:next w:val="Normal"/>
    <w:qFormat/>
    <w:rsid w:val="145CE41F"/>
    <w:rPr>
      <w:rFonts w:ascii="Aptos Display" w:hAnsi="Aptos Display" w:eastAsia="" w:cs="" w:asciiTheme="majorAscii" w:hAnsiTheme="majorAscii" w:eastAsiaTheme="majorEastAsia" w:cstheme="majorBidi"/>
      <w:color w:val="0F4761" w:themeColor="accent1" w:themeTint="FF" w:themeShade="BF"/>
      <w:sz w:val="40"/>
      <w:szCs w:val="40"/>
    </w:rPr>
    <w:pPr>
      <w:keepNext w:val="1"/>
      <w:keepLines w:val="1"/>
      <w:spacing w:before="360" w:after="80"/>
      <w:outlineLvl w:val="0"/>
    </w:pPr>
  </w:style>
  <w:style w:type="paragraph" w:styleId="Header">
    <w:uiPriority w:val="99"/>
    <w:name w:val="header"/>
    <w:basedOn w:val="Normal"/>
    <w:unhideWhenUsed/>
    <w:rsid w:val="12F7191E"/>
    <w:pPr>
      <w:tabs>
        <w:tab w:val="center" w:leader="none" w:pos="4680"/>
        <w:tab w:val="right" w:leader="none" w:pos="9360"/>
      </w:tabs>
      <w:spacing w:after="0" w:line="240" w:lineRule="auto"/>
    </w:pPr>
  </w:style>
  <w:style w:type="paragraph" w:styleId="Footer">
    <w:uiPriority w:val="99"/>
    <w:name w:val="footer"/>
    <w:basedOn w:val="Normal"/>
    <w:unhideWhenUsed/>
    <w:rsid w:val="12F7191E"/>
    <w:pPr>
      <w:tabs>
        <w:tab w:val="center" w:leader="none" w:pos="4680"/>
        <w:tab w:val="right" w:leader="none" w:pos="9360"/>
      </w:tabs>
      <w:spacing w:after="0" w:line="240" w:lineRule="auto"/>
    </w:p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3.xml" Id="rId8" /><Relationship Type="http://schemas.openxmlformats.org/officeDocument/2006/relationships/webSettings" Target="webSettings.xml" Id="rId3" /><Relationship Type="http://schemas.openxmlformats.org/officeDocument/2006/relationships/customXml" Target="../customXml/item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customXml" Target="../customXml/item1.xml" Id="rId6" /><Relationship Type="http://schemas.openxmlformats.org/officeDocument/2006/relationships/theme" Target="theme/theme1.xml" Id="rId5" /><Relationship Type="http://schemas.openxmlformats.org/officeDocument/2006/relationships/fontTable" Target="fontTable.xml" Id="rId4" /><Relationship Type="http://schemas.microsoft.com/office/2016/09/relationships/commentsIds" Target="commentsIds.xml" Id="R240626dfeb174050" /><Relationship Type="http://schemas.microsoft.com/office/2011/relationships/commentsExtended" Target="commentsExtended.xml" Id="R89cb96f595e34d7b" /><Relationship Type="http://schemas.microsoft.com/office/2011/relationships/people" Target="people.xml" Id="Rf5faf99d57214c9f" /><Relationship Type="http://schemas.openxmlformats.org/officeDocument/2006/relationships/header" Target="header.xml" Id="R1c2c284227fd4fa2" /><Relationship Type="http://schemas.openxmlformats.org/officeDocument/2006/relationships/footer" Target="footer.xml" Id="Rd9d45a5c31cf40ab" /></Relationships>
</file>

<file path=word/_rels/header.xml.rels>&#65279;<?xml version="1.0" encoding="utf-8"?><Relationships xmlns="http://schemas.openxmlformats.org/package/2006/relationships"><Relationship Type="http://schemas.openxmlformats.org/officeDocument/2006/relationships/image" Target="/media/image.png" Id="rId854057560"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9FFD12E64736A40BE28B151472001BD" ma:contentTypeVersion="16" ma:contentTypeDescription="Create a new document." ma:contentTypeScope="" ma:versionID="d77b05214b3bcdf89a29cd0db810bb9a">
  <xsd:schema xmlns:xsd="http://www.w3.org/2001/XMLSchema" xmlns:xs="http://www.w3.org/2001/XMLSchema" xmlns:p="http://schemas.microsoft.com/office/2006/metadata/properties" xmlns:ns2="85f1cd9c-e7b3-4342-bb1f-6572efd3bc97" xmlns:ns3="928b6d83-b05c-43e3-bd10-fc841b0bdb73" targetNamespace="http://schemas.microsoft.com/office/2006/metadata/properties" ma:root="true" ma:fieldsID="546d1fc0230ff76cc756543ed06088f9" ns2:_="" ns3:_="">
    <xsd:import namespace="85f1cd9c-e7b3-4342-bb1f-6572efd3bc97"/>
    <xsd:import namespace="928b6d83-b05c-43e3-bd10-fc841b0bdb7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3:SharedWithUsers" minOccurs="0"/>
                <xsd:element ref="ns3:SharedWithDetail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f1cd9c-e7b3-4342-bb1f-6572efd3bc9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f32d7cad-b8c0-437e-8370-508ec018d2d0"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28b6d83-b05c-43e3-bd10-fc841b0bdb73"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be2f4833-37b4-40c8-bb74-bf1d4dc19ed6}" ma:internalName="TaxCatchAll" ma:showField="CatchAllData" ma:web="928b6d83-b05c-43e3-bd10-fc841b0bdb73">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28b6d83-b05c-43e3-bd10-fc841b0bdb73" xsi:nil="true"/>
    <lcf76f155ced4ddcb4097134ff3c332f xmlns="85f1cd9c-e7b3-4342-bb1f-6572efd3bc9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11A3600-CE2F-4A50-94AB-2FEBB6191F49}"/>
</file>

<file path=customXml/itemProps2.xml><?xml version="1.0" encoding="utf-8"?>
<ds:datastoreItem xmlns:ds="http://schemas.openxmlformats.org/officeDocument/2006/customXml" ds:itemID="{CD8E3714-C707-482C-B5C5-10996668C58C}"/>
</file>

<file path=customXml/itemProps3.xml><?xml version="1.0" encoding="utf-8"?>
<ds:datastoreItem xmlns:ds="http://schemas.openxmlformats.org/officeDocument/2006/customXml" ds:itemID="{25D25E24-09BB-4233-9685-E96D11B30964}"/>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Ximena Araujo</dc:creator>
  <keywords/>
  <dc:description/>
  <lastModifiedBy>Usuario invitado</lastModifiedBy>
  <dcterms:created xsi:type="dcterms:W3CDTF">2026-07-28T21:49:40.0000000Z</dcterms:created>
  <dcterms:modified xsi:type="dcterms:W3CDTF">2026-08-04T19:37:21.1123482Z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0x01010009FFD12E64736A40BE28B151472001BD</vt:lpwstr>
  </property>
  <property fmtid="{D5CDD505-2E9C-101B-9397-08002B2CF9AE}" pid="3" name="MediaServiceImageTags">
    <vt:lpwstr/>
  </property>
</Properties>
</file>