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537D25D0" w:rsidP="281E43AE" w:rsidRDefault="537D25D0" w14:paraId="44F22854" w14:textId="028BF399">
      <w:pPr>
        <w:pStyle w:val="Normal"/>
        <w:jc w:val="center"/>
        <w:rPr/>
      </w:pPr>
      <w:r w:rsidR="6E051F36">
        <w:drawing>
          <wp:inline wp14:editId="251DF08B" wp14:anchorId="133B68F6">
            <wp:extent cx="657225" cy="857250"/>
            <wp:effectExtent l="0" t="0" r="0" b="0"/>
            <wp:docPr id="917147926" name="" title=""/>
            <wp:cNvGraphicFramePr>
              <a:graphicFrameLocks noChangeAspect="1"/>
            </wp:cNvGraphicFramePr>
            <a:graphic>
              <a:graphicData uri="http://schemas.openxmlformats.org/drawingml/2006/picture">
                <pic:pic>
                  <pic:nvPicPr>
                    <pic:cNvPr id="0" name=""/>
                    <pic:cNvPicPr/>
                  </pic:nvPicPr>
                  <pic:blipFill>
                    <a:blip r:embed="Ra640b80e847c4c0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57225" cy="857250"/>
                    </a:xfrm>
                    <a:prstGeom prst="rect">
                      <a:avLst/>
                    </a:prstGeom>
                  </pic:spPr>
                </pic:pic>
              </a:graphicData>
            </a:graphic>
          </wp:inline>
        </w:drawing>
      </w:r>
    </w:p>
    <w:p w:rsidR="18F88DF6" w:rsidP="281E43AE" w:rsidRDefault="18F88DF6" w14:paraId="76CFBCED" w14:textId="2CB27904">
      <w:pPr>
        <w:pStyle w:val="Normal"/>
        <w:jc w:val="center"/>
        <w:rPr>
          <w:rFonts w:ascii="Calibri" w:hAnsi="Calibri" w:eastAsia="Calibri" w:cs="Calibri" w:asciiTheme="minorAscii" w:hAnsiTheme="minorAscii" w:eastAsiaTheme="minorAscii" w:cstheme="minorAscii"/>
          <w:b w:val="1"/>
          <w:bCs w:val="1"/>
          <w:sz w:val="22"/>
          <w:szCs w:val="22"/>
        </w:rPr>
      </w:pPr>
      <w:r w:rsidRPr="77309DD2" w:rsidR="18F88DF6">
        <w:rPr>
          <w:rFonts w:ascii="Calibri" w:hAnsi="Calibri" w:eastAsia="Calibri" w:cs="Calibri" w:asciiTheme="minorAscii" w:hAnsiTheme="minorAscii" w:eastAsiaTheme="minorAscii" w:cstheme="minorAscii"/>
          <w:b w:val="1"/>
          <w:bCs w:val="1"/>
          <w:sz w:val="24"/>
          <w:szCs w:val="24"/>
        </w:rPr>
        <w:t>Descarbonización inmobiliaria, la tendencia en CDMX para alcanzar emisiones cero en 2050</w:t>
      </w:r>
    </w:p>
    <w:p w:rsidR="71F95511" w:rsidP="77309DD2" w:rsidRDefault="71F95511" w14:paraId="34060094" w14:textId="5BA371E6">
      <w:pPr>
        <w:pStyle w:val="ListParagraph"/>
        <w:numPr>
          <w:ilvl w:val="0"/>
          <w:numId w:val="1"/>
        </w:numPr>
        <w:rPr>
          <w:rFonts w:ascii="Calibri" w:hAnsi="Calibri" w:eastAsia="Calibri" w:cs="Calibri" w:asciiTheme="minorAscii" w:hAnsiTheme="minorAscii" w:eastAsiaTheme="minorAscii" w:cstheme="minorAscii"/>
          <w:b w:val="0"/>
          <w:bCs w:val="0"/>
          <w:i w:val="1"/>
          <w:iCs w:val="1"/>
        </w:rPr>
      </w:pPr>
      <w:r w:rsidRPr="77309DD2" w:rsidR="71F95511">
        <w:rPr>
          <w:rFonts w:ascii="Calibri" w:hAnsi="Calibri" w:eastAsia="Calibri" w:cs="Calibri" w:asciiTheme="minorAscii" w:hAnsiTheme="minorAscii" w:eastAsiaTheme="minorAscii" w:cstheme="minorAscii"/>
          <w:b w:val="0"/>
          <w:bCs w:val="0"/>
          <w:i w:val="1"/>
          <w:iCs w:val="1"/>
        </w:rPr>
        <w:t xml:space="preserve">60% de las emisiones de carbono provienen de los edificios. Tan solo en la capital mexicana 21% </w:t>
      </w:r>
      <w:r w:rsidRPr="77309DD2" w:rsidR="0750E29F">
        <w:rPr>
          <w:rFonts w:ascii="Calibri" w:hAnsi="Calibri" w:eastAsia="Calibri" w:cs="Calibri" w:asciiTheme="minorAscii" w:hAnsiTheme="minorAscii" w:eastAsiaTheme="minorAscii" w:cstheme="minorAscii"/>
          <w:b w:val="0"/>
          <w:bCs w:val="0"/>
          <w:i w:val="1"/>
          <w:iCs w:val="1"/>
        </w:rPr>
        <w:t xml:space="preserve">de este factor contaminante es emitido de las </w:t>
      </w:r>
      <w:r w:rsidRPr="77309DD2" w:rsidR="0750E29F">
        <w:rPr>
          <w:rFonts w:ascii="Calibri" w:hAnsi="Calibri" w:eastAsia="Calibri" w:cs="Calibri" w:asciiTheme="minorAscii" w:hAnsiTheme="minorAscii" w:eastAsiaTheme="minorAscii" w:cstheme="minorAscii"/>
          <w:b w:val="0"/>
          <w:bCs w:val="0"/>
          <w:i w:val="1"/>
          <w:iCs w:val="1"/>
        </w:rPr>
        <w:t>construcciones</w:t>
      </w:r>
      <w:r w:rsidRPr="77309DD2" w:rsidR="0750E29F">
        <w:rPr>
          <w:rFonts w:ascii="Calibri" w:hAnsi="Calibri" w:eastAsia="Calibri" w:cs="Calibri" w:asciiTheme="minorAscii" w:hAnsiTheme="minorAscii" w:eastAsiaTheme="minorAscii" w:cstheme="minorAscii"/>
          <w:b w:val="0"/>
          <w:bCs w:val="0"/>
          <w:i w:val="1"/>
          <w:iCs w:val="1"/>
        </w:rPr>
        <w:t xml:space="preserve">. </w:t>
      </w:r>
    </w:p>
    <w:p w:rsidR="0750E29F" w:rsidP="77309DD2" w:rsidRDefault="0750E29F" w14:paraId="4E86090C" w14:textId="38D0AC8B">
      <w:pPr>
        <w:pStyle w:val="ListParagraph"/>
        <w:numPr>
          <w:ilvl w:val="0"/>
          <w:numId w:val="1"/>
        </w:numPr>
        <w:rPr>
          <w:rFonts w:ascii="Calibri" w:hAnsi="Calibri" w:eastAsia="Calibri" w:cs="Calibri" w:asciiTheme="minorAscii" w:hAnsiTheme="minorAscii" w:eastAsiaTheme="minorAscii" w:cstheme="minorAscii"/>
          <w:b w:val="0"/>
          <w:bCs w:val="0"/>
          <w:i w:val="1"/>
          <w:iCs w:val="1"/>
        </w:rPr>
      </w:pPr>
      <w:r w:rsidRPr="77309DD2" w:rsidR="57C6B672">
        <w:rPr>
          <w:rFonts w:ascii="Calibri" w:hAnsi="Calibri" w:eastAsia="Calibri" w:cs="Calibri" w:asciiTheme="minorAscii" w:hAnsiTheme="minorAscii" w:eastAsiaTheme="minorAscii" w:cstheme="minorAscii"/>
          <w:b w:val="0"/>
          <w:bCs w:val="0"/>
          <w:i w:val="1"/>
          <w:iCs w:val="1"/>
        </w:rPr>
        <w:t>Algunas ciudades como CDMX, Chicago, Nueva York y Miami buscan llegar hacia las emisiones netas para 2050.</w:t>
      </w:r>
      <w:r w:rsidRPr="77309DD2" w:rsidR="57C6B672">
        <w:rPr>
          <w:rFonts w:ascii="Calibri" w:hAnsi="Calibri" w:eastAsia="Calibri" w:cs="Calibri" w:asciiTheme="minorAscii" w:hAnsiTheme="minorAscii" w:eastAsiaTheme="minorAscii" w:cstheme="minorAscii"/>
          <w:b w:val="0"/>
          <w:bCs w:val="0"/>
          <w:i w:val="1"/>
          <w:iCs w:val="1"/>
        </w:rPr>
        <w:t xml:space="preserve"> </w:t>
      </w:r>
    </w:p>
    <w:p w:rsidR="6F431F74" w:rsidP="77309DD2" w:rsidRDefault="6F431F74" w14:paraId="02F3F075" w14:textId="124254E8">
      <w:pPr>
        <w:pStyle w:val="ListParagraph"/>
        <w:numPr>
          <w:ilvl w:val="0"/>
          <w:numId w:val="1"/>
        </w:numPr>
        <w:suppressLineNumbers w:val="0"/>
        <w:bidi w:val="0"/>
        <w:spacing w:before="0" w:beforeAutospacing="off" w:after="16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7309DD2" w:rsidR="57C6B672">
        <w:rPr>
          <w:rFonts w:ascii="Calibri" w:hAnsi="Calibri" w:eastAsia="Calibri" w:cs="Calibri" w:asciiTheme="minorAscii" w:hAnsiTheme="minorAscii" w:eastAsiaTheme="minorAscii" w:cstheme="minorAscii"/>
          <w:b w:val="0"/>
          <w:bCs w:val="0"/>
          <w:i w:val="1"/>
          <w:iCs w:val="1"/>
        </w:rPr>
        <w:t xml:space="preserve">La industria inmobiliaria debe pensar en nuevos modelos para cumplir los objetivos, es por eso </w:t>
      </w:r>
      <w:r w:rsidRPr="77309DD2" w:rsidR="57C6B672">
        <w:rPr>
          <w:rFonts w:ascii="Calibri" w:hAnsi="Calibri" w:eastAsia="Calibri" w:cs="Calibri" w:asciiTheme="minorAscii" w:hAnsiTheme="minorAscii" w:eastAsiaTheme="minorAscii" w:cstheme="minorAscii"/>
          <w:b w:val="0"/>
          <w:bCs w:val="0"/>
          <w:i w:val="1"/>
          <w:iCs w:val="1"/>
        </w:rPr>
        <w:t>que</w:t>
      </w:r>
      <w:r w:rsidRPr="77309DD2" w:rsidR="57C6B672">
        <w:rPr>
          <w:rFonts w:ascii="Calibri" w:hAnsi="Calibri" w:eastAsia="Calibri" w:cs="Calibri" w:asciiTheme="minorAscii" w:hAnsiTheme="minorAscii" w:eastAsiaTheme="minorAscii" w:cstheme="minorAscii"/>
          <w:b w:val="0"/>
          <w:bCs w:val="0"/>
          <w:i w:val="1"/>
          <w:iCs w:val="1"/>
        </w:rPr>
        <w:t xml:space="preserve"> proyectos como Reserva Santa Fe son punta de lanza en este sector al ser pionero en presentar un desarrollo residencial que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aporta</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más</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de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los</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recursos</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naturales que se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utilizan</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para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su</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edificación</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w:t>
      </w:r>
    </w:p>
    <w:p w:rsidR="307D6FE1" w:rsidP="77309DD2" w:rsidRDefault="307D6FE1" w14:paraId="2068E90C" w14:textId="003CB5D6">
      <w:pPr>
        <w:pStyle w:val="Normal"/>
        <w:suppressLineNumbers w:val="0"/>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57C6B672">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 xml:space="preserve">Ciudad de México, </w:t>
      </w:r>
      <w:r w:rsidRPr="77309DD2" w:rsidR="329B32B5">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 xml:space="preserve">10 </w:t>
      </w:r>
      <w:r w:rsidRPr="77309DD2" w:rsidR="57C6B672">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 xml:space="preserve">de abril de 2024.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En los últimos años, tendencias como la de las viviendas verticales en las que sobresalen los edificios habitacionales han dominado en el mercado inmobiliario mundial. Pese a lo novedoso y aparentemente funcional que ha resultado este esquema, hay que tener en cuenta que el 60% de las emisiones de carbono contaminantes internacionales provienen de la construcción de edificaciones, según el reporte </w:t>
      </w:r>
      <w:hyperlink r:id="R5f5c40c2e9fc4e44">
        <w:r w:rsidRPr="77309DD2" w:rsidR="57C6B672">
          <w:rPr>
            <w:rStyle w:val="Hyperlink"/>
            <w:rFonts w:ascii="Calibri" w:hAnsi="Calibri" w:eastAsia="Calibri" w:cs="Calibri" w:asciiTheme="minorAscii" w:hAnsiTheme="minorAscii" w:eastAsiaTheme="minorAscii" w:cstheme="minorAscii"/>
            <w:b w:val="0"/>
            <w:bCs w:val="0"/>
            <w:i w:val="1"/>
            <w:iCs w:val="1"/>
            <w:caps w:val="0"/>
            <w:smallCaps w:val="0"/>
            <w:sz w:val="22"/>
            <w:szCs w:val="22"/>
          </w:rPr>
          <w:t>La Descarbonización de las ciudades y los activos inmobiliarios,</w:t>
        </w:r>
      </w:hyperlink>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de la firma JLL. </w:t>
      </w:r>
    </w:p>
    <w:p w:rsidR="0EE6B49F" w:rsidP="77309DD2" w:rsidRDefault="0EE6B49F" w14:paraId="45769918" w14:textId="3E819592">
      <w:pPr>
        <w:pStyle w:val="Normal"/>
        <w:suppressLineNumbers w:val="0"/>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Tener este panorama es importante, ya que los principales gobiernos de todo el mundo tienen el objetivo de alcanzar economías de emisión cero. En esta meta entra la CDMX, la cual estableció el 2050 como límite para cumplirlo. Es por eso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que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todas las industrias deben cooperar para que las 32 ciudades como Hong Kong, Miami, Chicago, Nueva York, Tokio y otras que están en este acuerdo logren el cometido. </w:t>
      </w:r>
    </w:p>
    <w:p w:rsidR="651A4718" w:rsidP="77309DD2" w:rsidRDefault="651A4718" w14:paraId="5014AE2F" w14:textId="3A0733D5">
      <w:pPr>
        <w:pStyle w:val="Normal"/>
        <w:suppressLineNumbers w:val="0"/>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1F1F1F"/>
          <w:sz w:val="22"/>
          <w:szCs w:val="22"/>
          <w:lang w:val="es"/>
        </w:rPr>
      </w:pP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Según el reporte de JLL, 21% de las emisiones de carbono en la capital mexicana proceden del sector inmobiliario, por lo que es relevante que la industria establezca estrategias para innovar en tecnologías y proyectos que presenten otra forma de construir viviendas mediante la descarbonización inmobiliaria, propuesta que se refiere a la reducción de las emisiones de carbono asociadas con edificios e infraestructuras.</w:t>
      </w:r>
    </w:p>
    <w:p w:rsidR="05901380" w:rsidP="77309DD2" w:rsidRDefault="05901380" w14:paraId="30971ED3" w14:textId="4726961F">
      <w:pPr>
        <w:pStyle w:val="Normal"/>
        <w:suppressLineNumbers w:val="0"/>
        <w:bidi w:val="0"/>
        <w:spacing w:line="276"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7309DD2" w:rsidR="57C6B672">
        <w:rPr>
          <w:rFonts w:ascii="Calibri" w:hAnsi="Calibri" w:eastAsia="Calibri" w:cs="Calibri" w:asciiTheme="minorAscii" w:hAnsiTheme="minorAscii" w:eastAsiaTheme="minorAscii" w:cstheme="minorAscii"/>
          <w:b w:val="0"/>
          <w:bCs w:val="0"/>
          <w:i w:val="0"/>
          <w:iCs w:val="0"/>
          <w:caps w:val="0"/>
          <w:smallCaps w:val="0"/>
          <w:color w:val="1F1F1F"/>
          <w:sz w:val="22"/>
          <w:szCs w:val="22"/>
        </w:rPr>
        <w:t xml:space="preserve">Ejemplo de esto es Reserva Santa Fe, el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desarrollo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residencial</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de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lujo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ubicado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a 15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minutos</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de Santa Fe, que es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punta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de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lanza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al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estar</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en</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búsqueda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del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proceso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de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certificación</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Living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Community</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Challenge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distintivo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que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otorga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el</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International Living Future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Institute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(ILFI)</w:t>
      </w:r>
      <w:r w:rsidRPr="77309DD2" w:rsidR="1ADD72C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con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el</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cual</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los</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proyectos deben pasar</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po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r</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un</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riguros</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evaluació</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n para ser</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considerado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comunidade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 que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aporta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n</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má</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 de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lo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recurso</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 que se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utiliza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n para</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s</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u</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edificació</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n.</w:t>
      </w:r>
    </w:p>
    <w:p w:rsidR="7C278FB2" w:rsidP="77309DD2" w:rsidRDefault="7C278FB2" w14:paraId="637DBE3A" w14:textId="67A6C800">
      <w:pPr>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Una de las múltiples acciones de este proyecto residencial, en etapa de construcción, es combatir el impacto negativo de los materiales con los que se están construyendo las viviendas, evitando una lista de productos químicos que dañan el ecosistema y generan mayor contaminación, entre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otras.</w:t>
      </w:r>
    </w:p>
    <w:p w:rsidR="52B0D7CA" w:rsidP="77309DD2" w:rsidRDefault="52B0D7CA" w14:paraId="2D89E0B0" w14:textId="29CF95EC">
      <w:pPr>
        <w:pStyle w:val="Normal"/>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57C6B672">
        <w:rPr>
          <w:rFonts w:ascii="Calibri" w:hAnsi="Calibri" w:eastAsia="Calibri" w:cs="Calibri" w:asciiTheme="minorAscii" w:hAnsiTheme="minorAscii" w:eastAsiaTheme="minorAscii" w:cstheme="minorAscii"/>
          <w:b w:val="1"/>
          <w:bCs w:val="1"/>
          <w:i w:val="1"/>
          <w:iCs w:val="1"/>
          <w:caps w:val="0"/>
          <w:smallCaps w:val="0"/>
          <w:color w:val="000000" w:themeColor="text1" w:themeTint="FF" w:themeShade="FF"/>
          <w:sz w:val="22"/>
          <w:szCs w:val="22"/>
        </w:rPr>
        <w:t>Reserva Santa Fe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tiene un programa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zero</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waste</w:t>
      </w:r>
      <w:r w:rsidRPr="77309DD2" w:rsidR="57C6B672">
        <w:rPr>
          <w:rFonts w:ascii="Calibri" w:hAnsi="Calibri" w:eastAsia="Calibri" w:cs="Calibri" w:asciiTheme="minorAscii" w:hAnsiTheme="minorAscii" w:eastAsiaTheme="minorAscii" w:cstheme="minorAscii"/>
          <w:b w:val="0"/>
          <w:bCs w:val="0"/>
          <w:i w:val="1"/>
          <w:iCs w:val="1"/>
          <w:caps w:val="0"/>
          <w:smallCaps w:val="0"/>
          <w:color w:val="000000" w:themeColor="text1" w:themeTint="FF" w:themeShade="FF"/>
          <w:sz w:val="22"/>
          <w:szCs w:val="22"/>
        </w:rPr>
        <w:t xml:space="preserv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con el que garantiza que todos los residuos que se generen durante las etapas de construcción no llegarán a un basurero y, por el contrario, serán</w:t>
      </w:r>
      <w:r w:rsidRPr="77309DD2" w:rsidR="5C388D9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reutilizados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para su reciclaje o composta.</w:t>
      </w:r>
    </w:p>
    <w:p w:rsidR="50709B35" w:rsidP="77309DD2" w:rsidRDefault="50709B35" w14:paraId="32F61766" w14:textId="2AC91D2D">
      <w:pPr>
        <w:pStyle w:val="Normal"/>
        <w:bidi w:val="0"/>
        <w:spacing w:line="276"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“El urbanismo y la construcción deben tomar en cuenta la crisis climática y responder. Un ejemplo es seleccionar de manera específica los materiales que no sean dañinos ni para la edificación, ni para las personas. Utilizar materiales que tiene componentes reciclados, pueden reducir hasta un 49% la emisión de CO2 y en ese sentido, Reserva Santa Fe es una muestra, ya que utilizamos únicamente materiales que están permitidos en la lista del International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Living</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Future </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Institute</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(ILFI)”, aseguró Martin Gutiérrez Lacayo, </w:t>
      </w:r>
      <w:r w:rsidRPr="77309DD2" w:rsidR="17B14425">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director</w:t>
      </w: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de Medio Ambiente y Sostenibilidad de Reserva Santa Fe. </w:t>
      </w:r>
    </w:p>
    <w:p w:rsidR="52B0D7CA" w:rsidP="77309DD2" w:rsidRDefault="52B0D7CA" w14:paraId="2E779115" w14:textId="1EEAB5F2">
      <w:pPr>
        <w:pStyle w:val="Normal"/>
        <w:bidi w:val="0"/>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77309DD2" w:rsidR="52B0D7CA">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w:t>
      </w:r>
      <w:r w:rsidRPr="77309DD2" w:rsidR="52B0D7CA">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Cómo</w:t>
      </w:r>
      <w:r w:rsidRPr="77309DD2" w:rsidR="52B0D7CA">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 xml:space="preserve"> </w:t>
      </w:r>
      <w:r w:rsidRPr="77309DD2" w:rsidR="52B0D7CA">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lograr</w:t>
      </w:r>
      <w:r w:rsidRPr="77309DD2" w:rsidR="52B0D7CA">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 xml:space="preserve"> la </w:t>
      </w:r>
      <w:r w:rsidRPr="77309DD2" w:rsidR="52B0D7CA">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descarbonización</w:t>
      </w:r>
      <w:r w:rsidRPr="77309DD2" w:rsidR="52B0D7CA">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2"/>
          <w:szCs w:val="22"/>
        </w:rPr>
        <w:t xml:space="preserve">? </w:t>
      </w:r>
    </w:p>
    <w:p w:rsidR="599D2D76" w:rsidP="77309DD2" w:rsidRDefault="599D2D76" w14:paraId="39FD31FA" w14:textId="5ACDEA60">
      <w:pPr>
        <w:pStyle w:val="Normal"/>
        <w:bidi w:val="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Además de los materiales, existen otras acciones que contribuyen a la evolución de la industria inmobiliaria hacia un futuro más verde, ya que, de acuerdo con expertos, también debe apostarse por tendencias como la construcción regenerativa, la cual se enfoca en priorizar el ecosistema en el que se construirá, para entender las necesidades y adaptarse a ese entorno, regresando a la naturaleza más de lo que se le quita. </w:t>
      </w:r>
    </w:p>
    <w:p w:rsidR="4282EA54" w:rsidP="77309DD2" w:rsidRDefault="4282EA54" w14:paraId="71B43A85" w14:textId="3BEBA881">
      <w:pPr>
        <w:pStyle w:val="Normal"/>
        <w:bidi w:val="0"/>
        <w:spacing w:line="276"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57C6B672">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Reserva Santa Fe, construyó lagos, represas, y pozos de infiltración para regresar al menos el 5% más de agua de lo que se utilizará en cada proceso, desde su construcción hasta la etapa final. Además, tendrán un bosque comestible y un invernadero para que los habitantes generen sus propios alimentos.</w:t>
      </w:r>
    </w:p>
    <w:p w:rsidR="3192346A" w:rsidP="77309DD2" w:rsidRDefault="3192346A" w14:paraId="6704771B" w14:textId="75E893F9">
      <w:pPr>
        <w:pStyle w:val="Normal"/>
        <w:suppressLineNumbers w:val="0"/>
        <w:bidi w:val="0"/>
        <w:spacing w:before="0" w:beforeAutospacing="off" w:after="160" w:afterAutospacing="off" w:line="276"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7309DD2" w:rsidR="3192346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“Como industria tenemos que romper el paradigma de que solo queremos un negocio, porque no es así. </w:t>
      </w:r>
      <w:r w:rsidRPr="77309DD2" w:rsidR="3192346A">
        <w:rPr>
          <w:rFonts w:ascii="Calibri" w:hAnsi="Calibri" w:eastAsia="Calibri" w:cs="Calibri" w:asciiTheme="minorAscii" w:hAnsiTheme="minorAscii" w:eastAsiaTheme="minorAscii" w:cstheme="minorAscii"/>
          <w:b w:val="1"/>
          <w:bCs w:val="1"/>
          <w:i w:val="1"/>
          <w:iCs w:val="1"/>
          <w:caps w:val="0"/>
          <w:smallCaps w:val="0"/>
          <w:color w:val="000000" w:themeColor="text1" w:themeTint="FF" w:themeShade="FF"/>
          <w:sz w:val="22"/>
          <w:szCs w:val="22"/>
        </w:rPr>
        <w:t>Reserva Santa Fe</w:t>
      </w:r>
      <w:r w:rsidRPr="77309DD2" w:rsidR="3192346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tuvo una planeación bastante extensa, en la que decidimos construir un proyecto sostenible, que logrará un equilibrio social e inmobiliario</w:t>
      </w:r>
      <w:r w:rsidRPr="77309DD2" w:rsidR="5332BC9D">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Debemos pensar en proyectos comprometidos con el medio ambiente, que además estén inmersos en la naturaleza, en donde las personas tengan la oportunidad de llevar una vida más saludable</w:t>
      </w:r>
      <w:r w:rsidRPr="77309DD2" w:rsidR="3192346A">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expresó Armando Turrent, CEO de Re</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serva Santa Fe. </w:t>
      </w:r>
    </w:p>
    <w:p w:rsidR="3DEC77E9" w:rsidP="77309DD2" w:rsidRDefault="3DEC77E9" w14:paraId="63831D0B" w14:textId="3B95423A">
      <w:pPr>
        <w:pStyle w:val="Normal"/>
        <w:suppressLineNumbers w:val="0"/>
        <w:bidi w:val="0"/>
        <w:spacing w:before="0" w:beforeAutospacing="off" w:after="160" w:afterAutospacing="off" w:line="276"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3A4D3F"/>
          <w:sz w:val="22"/>
          <w:szCs w:val="22"/>
          <w:lang w:val="es-ES"/>
        </w:rPr>
      </w:pP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Para saber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más</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sobre</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este</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proyecto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inmobiliario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único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en</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su</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tipo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agendar</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una</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cita</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y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conocer</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todo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aquello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que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considera</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1"/>
          <w:bCs w:val="1"/>
          <w:i w:val="1"/>
          <w:iCs w:val="1"/>
          <w:caps w:val="0"/>
          <w:smallCaps w:val="0"/>
          <w:color w:val="000000" w:themeColor="text1" w:themeTint="FF" w:themeShade="FF"/>
          <w:sz w:val="22"/>
          <w:szCs w:val="22"/>
        </w:rPr>
        <w:t>Reserva</w:t>
      </w:r>
      <w:r w:rsidRPr="77309DD2" w:rsidR="3DEC77E9">
        <w:rPr>
          <w:rFonts w:ascii="Calibri" w:hAnsi="Calibri" w:eastAsia="Calibri" w:cs="Calibri" w:asciiTheme="minorAscii" w:hAnsiTheme="minorAscii" w:eastAsiaTheme="minorAscii" w:cstheme="minorAscii"/>
          <w:b w:val="1"/>
          <w:bCs w:val="1"/>
          <w:i w:val="1"/>
          <w:iCs w:val="1"/>
          <w:caps w:val="0"/>
          <w:smallCaps w:val="0"/>
          <w:color w:val="000000" w:themeColor="text1" w:themeTint="FF" w:themeShade="FF"/>
          <w:sz w:val="22"/>
          <w:szCs w:val="22"/>
        </w:rPr>
        <w:t xml:space="preserve"> Santa Fe</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visita</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Style w:val="Hyperlink"/>
          <w:rFonts w:ascii="Calibri" w:hAnsi="Calibri" w:eastAsia="Calibri" w:cs="Calibri" w:asciiTheme="minorAscii" w:hAnsiTheme="minorAscii" w:eastAsiaTheme="minorAscii" w:cstheme="minorAscii"/>
          <w:b w:val="1"/>
          <w:bCs w:val="1"/>
          <w:i w:val="0"/>
          <w:iCs w:val="0"/>
          <w:caps w:val="0"/>
          <w:smallCaps w:val="0"/>
          <w:strike w:val="0"/>
          <w:dstrike w:val="0"/>
          <w:sz w:val="22"/>
          <w:szCs w:val="22"/>
        </w:rPr>
        <w:t>www.reservasantafe.com</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llama al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teléfono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55 5966 3533 o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vía</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correo</w:t>
      </w:r>
      <w:r w:rsidRPr="77309DD2" w:rsidR="3DEC77E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rPr>
        <w:t xml:space="preserve"> a </w:t>
      </w:r>
      <w:hyperlink r:id="Rbb134e04b02d4df0">
        <w:r w:rsidRPr="77309DD2" w:rsidR="3DEC77E9">
          <w:rPr>
            <w:rStyle w:val="Hyperlink"/>
            <w:rFonts w:ascii="Calibri" w:hAnsi="Calibri" w:eastAsia="Calibri" w:cs="Calibri" w:asciiTheme="minorAscii" w:hAnsiTheme="minorAscii" w:eastAsiaTheme="minorAscii" w:cstheme="minorAscii"/>
            <w:b w:val="1"/>
            <w:bCs w:val="1"/>
            <w:i w:val="0"/>
            <w:iCs w:val="0"/>
            <w:caps w:val="0"/>
            <w:smallCaps w:val="0"/>
            <w:strike w:val="0"/>
            <w:dstrike w:val="0"/>
            <w:color w:val="1155CC"/>
            <w:sz w:val="22"/>
            <w:szCs w:val="22"/>
            <w:u w:val="single"/>
          </w:rPr>
          <w:t>info@reservasantafe.com</w:t>
        </w:r>
      </w:hyperlink>
    </w:p>
    <w:p w:rsidR="537D25D0" w:rsidP="77309DD2" w:rsidRDefault="537D25D0" w14:paraId="7181C1BF" w14:textId="2949579C">
      <w:pPr>
        <w:bidi w:val="0"/>
        <w:jc w:val="both"/>
        <w:rPr>
          <w:rFonts w:ascii="Segoe UI" w:hAnsi="Segoe UI" w:eastAsia="Segoe UI" w:cs="Segoe UI"/>
          <w:b w:val="0"/>
          <w:bCs w:val="0"/>
          <w:i w:val="0"/>
          <w:iCs w:val="0"/>
          <w:caps w:val="0"/>
          <w:smallCaps w:val="0"/>
          <w:noProof w:val="0"/>
          <w:color w:val="3A4D3F"/>
          <w:sz w:val="22"/>
          <w:szCs w:val="22"/>
          <w:lang w:val="es-ES"/>
        </w:rPr>
      </w:pPr>
    </w:p>
    <w:p w:rsidR="3DEC77E9" w:rsidP="77309DD2" w:rsidRDefault="3DEC77E9" w14:paraId="27E200AE" w14:textId="3262F5B9">
      <w:pPr>
        <w:bidi w:val="0"/>
        <w:jc w:val="center"/>
        <w:rPr>
          <w:rFonts w:ascii="Segoe UI" w:hAnsi="Segoe UI" w:eastAsia="Segoe UI" w:cs="Segoe UI"/>
          <w:b w:val="0"/>
          <w:bCs w:val="0"/>
          <w:i w:val="0"/>
          <w:iCs w:val="0"/>
          <w:caps w:val="0"/>
          <w:smallCaps w:val="0"/>
          <w:noProof w:val="0"/>
          <w:color w:val="auto"/>
          <w:sz w:val="22"/>
          <w:szCs w:val="22"/>
          <w:lang w:val="es-ES"/>
        </w:rPr>
      </w:pPr>
      <w:r w:rsidRPr="77309DD2" w:rsidR="3E33697E">
        <w:rPr>
          <w:rFonts w:ascii="Segoe UI" w:hAnsi="Segoe UI" w:eastAsia="Segoe UI" w:cs="Segoe UI"/>
          <w:b w:val="0"/>
          <w:bCs w:val="0"/>
          <w:i w:val="1"/>
          <w:iCs w:val="1"/>
          <w:caps w:val="0"/>
          <w:smallCaps w:val="0"/>
          <w:color w:val="auto"/>
          <w:sz w:val="22"/>
          <w:szCs w:val="22"/>
        </w:rPr>
        <w:t>###</w:t>
      </w:r>
    </w:p>
    <w:p w:rsidR="537D25D0" w:rsidP="77309DD2" w:rsidRDefault="537D25D0" w14:paraId="04F7738D" w14:textId="1E9DDAB2">
      <w:pPr>
        <w:bidi w:val="0"/>
        <w:jc w:val="both"/>
        <w:rPr>
          <w:rFonts w:ascii="Segoe UI" w:hAnsi="Segoe UI" w:eastAsia="Segoe UI" w:cs="Segoe UI"/>
          <w:b w:val="0"/>
          <w:bCs w:val="0"/>
          <w:i w:val="0"/>
          <w:iCs w:val="0"/>
          <w:caps w:val="0"/>
          <w:smallCaps w:val="0"/>
          <w:noProof w:val="0"/>
          <w:color w:val="auto"/>
          <w:sz w:val="20"/>
          <w:szCs w:val="20"/>
          <w:lang w:val="es-ES"/>
        </w:rPr>
      </w:pPr>
    </w:p>
    <w:p w:rsidR="3DEC77E9" w:rsidP="77309DD2" w:rsidRDefault="3DEC77E9" w14:paraId="76FEDCBF" w14:textId="5EFE559C">
      <w:pPr>
        <w:bidi w:val="0"/>
        <w:jc w:val="both"/>
        <w:rPr>
          <w:rFonts w:ascii="Segoe UI" w:hAnsi="Segoe UI" w:eastAsia="Segoe UI" w:cs="Segoe UI"/>
          <w:b w:val="0"/>
          <w:bCs w:val="0"/>
          <w:i w:val="0"/>
          <w:iCs w:val="0"/>
          <w:caps w:val="0"/>
          <w:smallCaps w:val="0"/>
          <w:noProof w:val="0"/>
          <w:color w:val="auto"/>
          <w:sz w:val="20"/>
          <w:szCs w:val="20"/>
          <w:lang w:val="es-ES"/>
        </w:rPr>
      </w:pPr>
      <w:r w:rsidRPr="77309DD2" w:rsidR="3E33697E">
        <w:rPr>
          <w:rFonts w:ascii="Segoe UI" w:hAnsi="Segoe UI" w:eastAsia="Segoe UI" w:cs="Segoe UI"/>
          <w:b w:val="1"/>
          <w:bCs w:val="1"/>
          <w:i w:val="0"/>
          <w:iCs w:val="0"/>
          <w:caps w:val="0"/>
          <w:smallCaps w:val="0"/>
          <w:color w:val="auto"/>
          <w:sz w:val="20"/>
          <w:szCs w:val="20"/>
        </w:rPr>
        <w:t>Acerca</w:t>
      </w:r>
      <w:r w:rsidRPr="77309DD2" w:rsidR="3E33697E">
        <w:rPr>
          <w:rFonts w:ascii="Segoe UI" w:hAnsi="Segoe UI" w:eastAsia="Segoe UI" w:cs="Segoe UI"/>
          <w:b w:val="1"/>
          <w:bCs w:val="1"/>
          <w:i w:val="0"/>
          <w:iCs w:val="0"/>
          <w:caps w:val="0"/>
          <w:smallCaps w:val="0"/>
          <w:color w:val="auto"/>
          <w:sz w:val="20"/>
          <w:szCs w:val="20"/>
        </w:rPr>
        <w:t xml:space="preserve"> de </w:t>
      </w:r>
      <w:r w:rsidRPr="77309DD2" w:rsidR="3E33697E">
        <w:rPr>
          <w:rFonts w:ascii="Segoe UI" w:hAnsi="Segoe UI" w:eastAsia="Segoe UI" w:cs="Segoe UI"/>
          <w:b w:val="1"/>
          <w:bCs w:val="1"/>
          <w:i w:val="0"/>
          <w:iCs w:val="0"/>
          <w:caps w:val="0"/>
          <w:smallCaps w:val="0"/>
          <w:color w:val="auto"/>
          <w:sz w:val="20"/>
          <w:szCs w:val="20"/>
        </w:rPr>
        <w:t>Reserva</w:t>
      </w:r>
      <w:r w:rsidRPr="77309DD2" w:rsidR="3E33697E">
        <w:rPr>
          <w:rFonts w:ascii="Segoe UI" w:hAnsi="Segoe UI" w:eastAsia="Segoe UI" w:cs="Segoe UI"/>
          <w:b w:val="1"/>
          <w:bCs w:val="1"/>
          <w:i w:val="0"/>
          <w:iCs w:val="0"/>
          <w:caps w:val="0"/>
          <w:smallCaps w:val="0"/>
          <w:color w:val="auto"/>
          <w:sz w:val="20"/>
          <w:szCs w:val="20"/>
        </w:rPr>
        <w:t xml:space="preserve"> Santa Fe</w:t>
      </w:r>
    </w:p>
    <w:p w:rsidR="537D25D0" w:rsidP="77309DD2" w:rsidRDefault="537D25D0" w14:paraId="1FDA18B5" w14:textId="32AE7617">
      <w:pPr>
        <w:bidi w:val="0"/>
        <w:jc w:val="both"/>
        <w:rPr>
          <w:rFonts w:ascii="Segoe UI" w:hAnsi="Segoe UI" w:eastAsia="Segoe UI" w:cs="Segoe UI"/>
          <w:b w:val="0"/>
          <w:bCs w:val="0"/>
          <w:i w:val="0"/>
          <w:iCs w:val="0"/>
          <w:caps w:val="0"/>
          <w:smallCaps w:val="0"/>
          <w:noProof w:val="0"/>
          <w:color w:val="auto"/>
          <w:sz w:val="18"/>
          <w:szCs w:val="18"/>
          <w:lang w:val="es-ES"/>
        </w:rPr>
      </w:pPr>
    </w:p>
    <w:p w:rsidR="537D25D0" w:rsidP="77309DD2" w:rsidRDefault="537D25D0" w14:paraId="18404EF8" w14:textId="6EA0C517">
      <w:pPr>
        <w:suppressLineNumbers w:val="0"/>
        <w:bidi w:val="0"/>
        <w:spacing w:before="0" w:beforeAutospacing="off" w:after="160" w:afterAutospacing="off" w:line="259" w:lineRule="auto"/>
        <w:ind/>
        <w:jc w:val="both"/>
        <w:rPr>
          <w:rFonts w:ascii="Segoe UI" w:hAnsi="Segoe UI" w:eastAsia="Segoe UI" w:cs="Segoe UI"/>
          <w:b w:val="0"/>
          <w:bCs w:val="0"/>
          <w:i w:val="0"/>
          <w:iCs w:val="0"/>
          <w:caps w:val="0"/>
          <w:smallCaps w:val="0"/>
          <w:noProof w:val="0"/>
          <w:color w:val="auto"/>
          <w:sz w:val="18"/>
          <w:szCs w:val="18"/>
          <w:lang w:val="es-ES"/>
        </w:rPr>
      </w:pPr>
      <w:r w:rsidRPr="77309DD2" w:rsidR="57C6B672">
        <w:rPr>
          <w:rFonts w:ascii="Segoe UI" w:hAnsi="Segoe UI" w:eastAsia="Segoe UI" w:cs="Segoe UI"/>
          <w:b w:val="0"/>
          <w:bCs w:val="0"/>
          <w:i w:val="1"/>
          <w:iCs w:val="1"/>
          <w:caps w:val="0"/>
          <w:smallCaps w:val="0"/>
          <w:color w:val="auto"/>
          <w:sz w:val="18"/>
          <w:szCs w:val="18"/>
        </w:rPr>
        <w:t>Reserva</w:t>
      </w:r>
      <w:r w:rsidRPr="77309DD2" w:rsidR="57C6B672">
        <w:rPr>
          <w:rFonts w:ascii="Segoe UI" w:hAnsi="Segoe UI" w:eastAsia="Segoe UI" w:cs="Segoe UI"/>
          <w:b w:val="0"/>
          <w:bCs w:val="0"/>
          <w:i w:val="1"/>
          <w:iCs w:val="1"/>
          <w:caps w:val="0"/>
          <w:smallCaps w:val="0"/>
          <w:color w:val="auto"/>
          <w:sz w:val="18"/>
          <w:szCs w:val="18"/>
        </w:rPr>
        <w:t xml:space="preserve"> Santa Fe</w:t>
      </w:r>
      <w:r w:rsidRPr="77309DD2" w:rsidR="57C6B672">
        <w:rPr>
          <w:rFonts w:ascii="Segoe UI" w:hAnsi="Segoe UI" w:eastAsia="Segoe UI" w:cs="Segoe UI"/>
          <w:b w:val="0"/>
          <w:bCs w:val="0"/>
          <w:i w:val="0"/>
          <w:iCs w:val="0"/>
          <w:caps w:val="0"/>
          <w:smallCaps w:val="0"/>
          <w:color w:val="auto"/>
          <w:sz w:val="18"/>
          <w:szCs w:val="18"/>
        </w:rPr>
        <w:t xml:space="preserve"> es un </w:t>
      </w:r>
      <w:r w:rsidRPr="77309DD2" w:rsidR="57C6B672">
        <w:rPr>
          <w:rFonts w:ascii="Segoe UI" w:hAnsi="Segoe UI" w:eastAsia="Segoe UI" w:cs="Segoe UI"/>
          <w:b w:val="0"/>
          <w:bCs w:val="0"/>
          <w:i w:val="0"/>
          <w:iCs w:val="0"/>
          <w:caps w:val="0"/>
          <w:smallCaps w:val="0"/>
          <w:color w:val="auto"/>
          <w:sz w:val="18"/>
          <w:szCs w:val="18"/>
        </w:rPr>
        <w:t>proyecto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inmobiliario</w:t>
      </w:r>
      <w:r w:rsidRPr="77309DD2" w:rsidR="57C6B672">
        <w:rPr>
          <w:rFonts w:ascii="Segoe UI" w:hAnsi="Segoe UI" w:eastAsia="Segoe UI" w:cs="Segoe UI"/>
          <w:b w:val="0"/>
          <w:bCs w:val="0"/>
          <w:i w:val="0"/>
          <w:iCs w:val="0"/>
          <w:caps w:val="0"/>
          <w:smallCaps w:val="0"/>
          <w:color w:val="auto"/>
          <w:sz w:val="18"/>
          <w:szCs w:val="18"/>
        </w:rPr>
        <w:t xml:space="preserve"> de </w:t>
      </w:r>
      <w:r w:rsidRPr="77309DD2" w:rsidR="57C6B672">
        <w:rPr>
          <w:rFonts w:ascii="Segoe UI" w:hAnsi="Segoe UI" w:eastAsia="Segoe UI" w:cs="Segoe UI"/>
          <w:b w:val="0"/>
          <w:bCs w:val="0"/>
          <w:i w:val="0"/>
          <w:iCs w:val="0"/>
          <w:caps w:val="0"/>
          <w:smallCaps w:val="0"/>
          <w:color w:val="auto"/>
          <w:sz w:val="18"/>
          <w:szCs w:val="18"/>
        </w:rPr>
        <w:t>construcción</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regenerativa</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ubicado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dentro</w:t>
      </w:r>
      <w:r w:rsidRPr="77309DD2" w:rsidR="57C6B672">
        <w:rPr>
          <w:rFonts w:ascii="Segoe UI" w:hAnsi="Segoe UI" w:eastAsia="Segoe UI" w:cs="Segoe UI"/>
          <w:b w:val="0"/>
          <w:bCs w:val="0"/>
          <w:i w:val="0"/>
          <w:iCs w:val="0"/>
          <w:caps w:val="0"/>
          <w:smallCaps w:val="0"/>
          <w:color w:val="auto"/>
          <w:sz w:val="18"/>
          <w:szCs w:val="18"/>
        </w:rPr>
        <w:t xml:space="preserve"> de un bosque de 197 </w:t>
      </w:r>
      <w:r w:rsidRPr="77309DD2" w:rsidR="57C6B672">
        <w:rPr>
          <w:rFonts w:ascii="Segoe UI" w:hAnsi="Segoe UI" w:eastAsia="Segoe UI" w:cs="Segoe UI"/>
          <w:b w:val="0"/>
          <w:bCs w:val="0"/>
          <w:i w:val="0"/>
          <w:iCs w:val="0"/>
          <w:caps w:val="0"/>
          <w:smallCaps w:val="0"/>
          <w:color w:val="auto"/>
          <w:sz w:val="18"/>
          <w:szCs w:val="18"/>
        </w:rPr>
        <w:t>hectáreas</w:t>
      </w:r>
      <w:r w:rsidRPr="77309DD2" w:rsidR="57C6B672">
        <w:rPr>
          <w:rFonts w:ascii="Segoe UI" w:hAnsi="Segoe UI" w:eastAsia="Segoe UI" w:cs="Segoe UI"/>
          <w:b w:val="0"/>
          <w:bCs w:val="0"/>
          <w:i w:val="0"/>
          <w:iCs w:val="0"/>
          <w:caps w:val="0"/>
          <w:smallCaps w:val="0"/>
          <w:color w:val="auto"/>
          <w:sz w:val="18"/>
          <w:szCs w:val="18"/>
        </w:rPr>
        <w:t xml:space="preserve">, que </w:t>
      </w:r>
      <w:r w:rsidRPr="77309DD2" w:rsidR="57C6B672">
        <w:rPr>
          <w:rFonts w:ascii="Segoe UI" w:hAnsi="Segoe UI" w:eastAsia="Segoe UI" w:cs="Segoe UI"/>
          <w:b w:val="0"/>
          <w:bCs w:val="0"/>
          <w:i w:val="0"/>
          <w:iCs w:val="0"/>
          <w:caps w:val="0"/>
          <w:smallCaps w:val="0"/>
          <w:color w:val="auto"/>
          <w:sz w:val="18"/>
          <w:szCs w:val="18"/>
        </w:rPr>
        <w:t>busca</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habilitar</w:t>
      </w:r>
      <w:r w:rsidRPr="77309DD2" w:rsidR="57C6B672">
        <w:rPr>
          <w:rFonts w:ascii="Segoe UI" w:hAnsi="Segoe UI" w:eastAsia="Segoe UI" w:cs="Segoe UI"/>
          <w:b w:val="0"/>
          <w:bCs w:val="0"/>
          <w:i w:val="0"/>
          <w:iCs w:val="0"/>
          <w:caps w:val="0"/>
          <w:smallCaps w:val="0"/>
          <w:color w:val="auto"/>
          <w:sz w:val="18"/>
          <w:szCs w:val="18"/>
        </w:rPr>
        <w:t xml:space="preserve"> un </w:t>
      </w:r>
      <w:r w:rsidRPr="77309DD2" w:rsidR="57C6B672">
        <w:rPr>
          <w:rFonts w:ascii="Segoe UI" w:hAnsi="Segoe UI" w:eastAsia="Segoe UI" w:cs="Segoe UI"/>
          <w:b w:val="0"/>
          <w:bCs w:val="0"/>
          <w:i w:val="0"/>
          <w:iCs w:val="0"/>
          <w:caps w:val="0"/>
          <w:smallCaps w:val="0"/>
          <w:color w:val="auto"/>
          <w:sz w:val="18"/>
          <w:szCs w:val="18"/>
        </w:rPr>
        <w:t>ecosistema</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en</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el</w:t>
      </w:r>
      <w:r w:rsidRPr="77309DD2" w:rsidR="57C6B672">
        <w:rPr>
          <w:rFonts w:ascii="Segoe UI" w:hAnsi="Segoe UI" w:eastAsia="Segoe UI" w:cs="Segoe UI"/>
          <w:b w:val="0"/>
          <w:bCs w:val="0"/>
          <w:i w:val="0"/>
          <w:iCs w:val="0"/>
          <w:caps w:val="0"/>
          <w:smallCaps w:val="0"/>
          <w:color w:val="auto"/>
          <w:sz w:val="18"/>
          <w:szCs w:val="18"/>
        </w:rPr>
        <w:t xml:space="preserve"> que sus </w:t>
      </w:r>
      <w:r w:rsidRPr="77309DD2" w:rsidR="57C6B672">
        <w:rPr>
          <w:rFonts w:ascii="Segoe UI" w:hAnsi="Segoe UI" w:eastAsia="Segoe UI" w:cs="Segoe UI"/>
          <w:b w:val="0"/>
          <w:bCs w:val="0"/>
          <w:i w:val="0"/>
          <w:iCs w:val="0"/>
          <w:caps w:val="0"/>
          <w:smallCaps w:val="0"/>
          <w:color w:val="auto"/>
          <w:sz w:val="18"/>
          <w:szCs w:val="18"/>
        </w:rPr>
        <w:t>habitantes</w:t>
      </w:r>
      <w:r w:rsidRPr="77309DD2" w:rsidR="57C6B672">
        <w:rPr>
          <w:rFonts w:ascii="Segoe UI" w:hAnsi="Segoe UI" w:eastAsia="Segoe UI" w:cs="Segoe UI"/>
          <w:b w:val="0"/>
          <w:bCs w:val="0"/>
          <w:i w:val="0"/>
          <w:iCs w:val="0"/>
          <w:caps w:val="0"/>
          <w:smallCaps w:val="0"/>
          <w:color w:val="auto"/>
          <w:sz w:val="18"/>
          <w:szCs w:val="18"/>
        </w:rPr>
        <w:t xml:space="preserve"> se </w:t>
      </w:r>
      <w:r w:rsidRPr="77309DD2" w:rsidR="57C6B672">
        <w:rPr>
          <w:rFonts w:ascii="Segoe UI" w:hAnsi="Segoe UI" w:eastAsia="Segoe UI" w:cs="Segoe UI"/>
          <w:b w:val="0"/>
          <w:bCs w:val="0"/>
          <w:i w:val="0"/>
          <w:iCs w:val="0"/>
          <w:caps w:val="0"/>
          <w:smallCaps w:val="0"/>
          <w:color w:val="auto"/>
          <w:sz w:val="18"/>
          <w:szCs w:val="18"/>
        </w:rPr>
        <w:t>integren</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como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agentes</w:t>
      </w:r>
      <w:r w:rsidRPr="77309DD2" w:rsidR="57C6B672">
        <w:rPr>
          <w:rFonts w:ascii="Segoe UI" w:hAnsi="Segoe UI" w:eastAsia="Segoe UI" w:cs="Segoe UI"/>
          <w:b w:val="0"/>
          <w:bCs w:val="0"/>
          <w:i w:val="0"/>
          <w:iCs w:val="0"/>
          <w:caps w:val="0"/>
          <w:smallCaps w:val="0"/>
          <w:color w:val="auto"/>
          <w:sz w:val="18"/>
          <w:szCs w:val="18"/>
        </w:rPr>
        <w:t xml:space="preserve"> de </w:t>
      </w:r>
      <w:r w:rsidRPr="77309DD2" w:rsidR="57C6B672">
        <w:rPr>
          <w:rFonts w:ascii="Segoe UI" w:hAnsi="Segoe UI" w:eastAsia="Segoe UI" w:cs="Segoe UI"/>
          <w:b w:val="0"/>
          <w:bCs w:val="0"/>
          <w:i w:val="0"/>
          <w:iCs w:val="0"/>
          <w:caps w:val="0"/>
          <w:smallCaps w:val="0"/>
          <w:color w:val="auto"/>
          <w:sz w:val="18"/>
          <w:szCs w:val="18"/>
        </w:rPr>
        <w:t>conservación</w:t>
      </w:r>
      <w:r w:rsidRPr="77309DD2" w:rsidR="57C6B672">
        <w:rPr>
          <w:rFonts w:ascii="Segoe UI" w:hAnsi="Segoe UI" w:eastAsia="Segoe UI" w:cs="Segoe UI"/>
          <w:b w:val="0"/>
          <w:bCs w:val="0"/>
          <w:i w:val="0"/>
          <w:iCs w:val="0"/>
          <w:caps w:val="0"/>
          <w:smallCaps w:val="0"/>
          <w:color w:val="auto"/>
          <w:sz w:val="18"/>
          <w:szCs w:val="18"/>
        </w:rPr>
        <w:t xml:space="preserve"> y </w:t>
      </w:r>
      <w:r w:rsidRPr="77309DD2" w:rsidR="57C6B672">
        <w:rPr>
          <w:rFonts w:ascii="Segoe UI" w:hAnsi="Segoe UI" w:eastAsia="Segoe UI" w:cs="Segoe UI"/>
          <w:b w:val="0"/>
          <w:bCs w:val="0"/>
          <w:i w:val="0"/>
          <w:iCs w:val="0"/>
          <w:caps w:val="0"/>
          <w:smallCaps w:val="0"/>
          <w:color w:val="auto"/>
          <w:sz w:val="18"/>
          <w:szCs w:val="18"/>
        </w:rPr>
        <w:t>enriquecimiento</w:t>
      </w:r>
      <w:r w:rsidRPr="77309DD2" w:rsidR="57C6B672">
        <w:rPr>
          <w:rFonts w:ascii="Segoe UI" w:hAnsi="Segoe UI" w:eastAsia="Segoe UI" w:cs="Segoe UI"/>
          <w:b w:val="0"/>
          <w:bCs w:val="0"/>
          <w:i w:val="0"/>
          <w:iCs w:val="0"/>
          <w:caps w:val="0"/>
          <w:smallCaps w:val="0"/>
          <w:color w:val="auto"/>
          <w:sz w:val="18"/>
          <w:szCs w:val="18"/>
        </w:rPr>
        <w:t xml:space="preserve"> de la </w:t>
      </w:r>
      <w:r w:rsidRPr="77309DD2" w:rsidR="57C6B672">
        <w:rPr>
          <w:rFonts w:ascii="Segoe UI" w:hAnsi="Segoe UI" w:eastAsia="Segoe UI" w:cs="Segoe UI"/>
          <w:b w:val="0"/>
          <w:bCs w:val="0"/>
          <w:i w:val="0"/>
          <w:iCs w:val="0"/>
          <w:caps w:val="0"/>
          <w:smallCaps w:val="0"/>
          <w:color w:val="auto"/>
          <w:sz w:val="18"/>
          <w:szCs w:val="18"/>
        </w:rPr>
        <w:t>naturaleza</w:t>
      </w:r>
      <w:r w:rsidRPr="77309DD2" w:rsidR="57C6B672">
        <w:rPr>
          <w:rFonts w:ascii="Segoe UI" w:hAnsi="Segoe UI" w:eastAsia="Segoe UI" w:cs="Segoe UI"/>
          <w:b w:val="0"/>
          <w:bCs w:val="0"/>
          <w:i w:val="0"/>
          <w:iCs w:val="0"/>
          <w:caps w:val="0"/>
          <w:smallCaps w:val="0"/>
          <w:color w:val="auto"/>
          <w:sz w:val="18"/>
          <w:szCs w:val="18"/>
        </w:rPr>
        <w:t xml:space="preserve"> y, al </w:t>
      </w:r>
      <w:r w:rsidRPr="77309DD2" w:rsidR="57C6B672">
        <w:rPr>
          <w:rFonts w:ascii="Segoe UI" w:hAnsi="Segoe UI" w:eastAsia="Segoe UI" w:cs="Segoe UI"/>
          <w:b w:val="0"/>
          <w:bCs w:val="0"/>
          <w:i w:val="0"/>
          <w:iCs w:val="0"/>
          <w:caps w:val="0"/>
          <w:smallCaps w:val="0"/>
          <w:color w:val="auto"/>
          <w:sz w:val="18"/>
          <w:szCs w:val="18"/>
        </w:rPr>
        <w:t>mismo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tiempo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disfruten</w:t>
      </w:r>
      <w:r w:rsidRPr="77309DD2" w:rsidR="57C6B672">
        <w:rPr>
          <w:rFonts w:ascii="Segoe UI" w:hAnsi="Segoe UI" w:eastAsia="Segoe UI" w:cs="Segoe UI"/>
          <w:b w:val="0"/>
          <w:bCs w:val="0"/>
          <w:i w:val="0"/>
          <w:iCs w:val="0"/>
          <w:caps w:val="0"/>
          <w:smallCaps w:val="0"/>
          <w:color w:val="auto"/>
          <w:sz w:val="18"/>
          <w:szCs w:val="18"/>
        </w:rPr>
        <w:t xml:space="preserve"> de </w:t>
      </w:r>
      <w:r w:rsidRPr="77309DD2" w:rsidR="57C6B672">
        <w:rPr>
          <w:rFonts w:ascii="Segoe UI" w:hAnsi="Segoe UI" w:eastAsia="Segoe UI" w:cs="Segoe UI"/>
          <w:b w:val="0"/>
          <w:bCs w:val="0"/>
          <w:i w:val="0"/>
          <w:iCs w:val="0"/>
          <w:caps w:val="0"/>
          <w:smallCaps w:val="0"/>
          <w:color w:val="auto"/>
          <w:sz w:val="18"/>
          <w:szCs w:val="18"/>
        </w:rPr>
        <w:t>una</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alta</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calidad</w:t>
      </w:r>
      <w:r w:rsidRPr="77309DD2" w:rsidR="57C6B672">
        <w:rPr>
          <w:rFonts w:ascii="Segoe UI" w:hAnsi="Segoe UI" w:eastAsia="Segoe UI" w:cs="Segoe UI"/>
          <w:b w:val="0"/>
          <w:bCs w:val="0"/>
          <w:i w:val="0"/>
          <w:iCs w:val="0"/>
          <w:caps w:val="0"/>
          <w:smallCaps w:val="0"/>
          <w:color w:val="auto"/>
          <w:sz w:val="18"/>
          <w:szCs w:val="18"/>
        </w:rPr>
        <w:t xml:space="preserve"> de </w:t>
      </w:r>
      <w:r w:rsidRPr="77309DD2" w:rsidR="57C6B672">
        <w:rPr>
          <w:rFonts w:ascii="Segoe UI" w:hAnsi="Segoe UI" w:eastAsia="Segoe UI" w:cs="Segoe UI"/>
          <w:b w:val="0"/>
          <w:bCs w:val="0"/>
          <w:i w:val="0"/>
          <w:iCs w:val="0"/>
          <w:caps w:val="0"/>
          <w:smallCaps w:val="0"/>
          <w:color w:val="auto"/>
          <w:sz w:val="18"/>
          <w:szCs w:val="18"/>
        </w:rPr>
        <w:t>vida</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vinculando</w:t>
      </w:r>
      <w:r w:rsidRPr="77309DD2" w:rsidR="57C6B672">
        <w:rPr>
          <w:rFonts w:ascii="Segoe UI" w:hAnsi="Segoe UI" w:eastAsia="Segoe UI" w:cs="Segoe UI"/>
          <w:b w:val="0"/>
          <w:bCs w:val="0"/>
          <w:i w:val="0"/>
          <w:iCs w:val="0"/>
          <w:caps w:val="0"/>
          <w:smallCaps w:val="0"/>
          <w:color w:val="auto"/>
          <w:sz w:val="18"/>
          <w:szCs w:val="18"/>
        </w:rPr>
        <w:t xml:space="preserve"> la </w:t>
      </w:r>
      <w:r w:rsidRPr="77309DD2" w:rsidR="57C6B672">
        <w:rPr>
          <w:rFonts w:ascii="Segoe UI" w:hAnsi="Segoe UI" w:eastAsia="Segoe UI" w:cs="Segoe UI"/>
          <w:b w:val="0"/>
          <w:bCs w:val="0"/>
          <w:i w:val="0"/>
          <w:iCs w:val="0"/>
          <w:caps w:val="0"/>
          <w:smallCaps w:val="0"/>
          <w:color w:val="auto"/>
          <w:sz w:val="18"/>
          <w:szCs w:val="18"/>
        </w:rPr>
        <w:t>sostenibilidad</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el</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bienestar</w:t>
      </w:r>
      <w:r w:rsidRPr="77309DD2" w:rsidR="57C6B672">
        <w:rPr>
          <w:rFonts w:ascii="Segoe UI" w:hAnsi="Segoe UI" w:eastAsia="Segoe UI" w:cs="Segoe UI"/>
          <w:b w:val="0"/>
          <w:bCs w:val="0"/>
          <w:i w:val="0"/>
          <w:iCs w:val="0"/>
          <w:caps w:val="0"/>
          <w:smallCaps w:val="0"/>
          <w:color w:val="auto"/>
          <w:sz w:val="18"/>
          <w:szCs w:val="18"/>
        </w:rPr>
        <w:t xml:space="preserve"> y </w:t>
      </w:r>
      <w:r w:rsidRPr="77309DD2" w:rsidR="57C6B672">
        <w:rPr>
          <w:rFonts w:ascii="Segoe UI" w:hAnsi="Segoe UI" w:eastAsia="Segoe UI" w:cs="Segoe UI"/>
          <w:b w:val="0"/>
          <w:bCs w:val="0"/>
          <w:i w:val="0"/>
          <w:iCs w:val="0"/>
          <w:caps w:val="0"/>
          <w:smallCaps w:val="0"/>
          <w:color w:val="auto"/>
          <w:sz w:val="18"/>
          <w:szCs w:val="18"/>
        </w:rPr>
        <w:t>el</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lujo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siendo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así</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el</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único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desarrollo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en</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Latinoamérica</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en</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proceso</w:t>
      </w:r>
      <w:r w:rsidRPr="77309DD2" w:rsidR="57C6B672">
        <w:rPr>
          <w:rFonts w:ascii="Segoe UI" w:hAnsi="Segoe UI" w:eastAsia="Segoe UI" w:cs="Segoe UI"/>
          <w:b w:val="0"/>
          <w:bCs w:val="0"/>
          <w:i w:val="0"/>
          <w:iCs w:val="0"/>
          <w:caps w:val="0"/>
          <w:smallCaps w:val="0"/>
          <w:color w:val="auto"/>
          <w:sz w:val="18"/>
          <w:szCs w:val="18"/>
        </w:rPr>
        <w:t xml:space="preserve"> para </w:t>
      </w:r>
      <w:r w:rsidRPr="77309DD2" w:rsidR="57C6B672">
        <w:rPr>
          <w:rFonts w:ascii="Segoe UI" w:hAnsi="Segoe UI" w:eastAsia="Segoe UI" w:cs="Segoe UI"/>
          <w:b w:val="0"/>
          <w:bCs w:val="0"/>
          <w:i w:val="0"/>
          <w:iCs w:val="0"/>
          <w:caps w:val="0"/>
          <w:smallCaps w:val="0"/>
          <w:color w:val="auto"/>
          <w:sz w:val="18"/>
          <w:szCs w:val="18"/>
        </w:rPr>
        <w:t>obtener</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el</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0"/>
          <w:iCs w:val="0"/>
          <w:caps w:val="0"/>
          <w:smallCaps w:val="0"/>
          <w:color w:val="auto"/>
          <w:sz w:val="18"/>
          <w:szCs w:val="18"/>
        </w:rPr>
        <w:t>certificado</w:t>
      </w:r>
      <w:r w:rsidRPr="77309DD2" w:rsidR="57C6B672">
        <w:rPr>
          <w:rFonts w:ascii="Segoe UI" w:hAnsi="Segoe UI" w:eastAsia="Segoe UI" w:cs="Segoe UI"/>
          <w:b w:val="0"/>
          <w:bCs w:val="0"/>
          <w:i w:val="0"/>
          <w:iCs w:val="0"/>
          <w:caps w:val="0"/>
          <w:smallCaps w:val="0"/>
          <w:color w:val="auto"/>
          <w:sz w:val="18"/>
          <w:szCs w:val="18"/>
        </w:rPr>
        <w:t xml:space="preserve"> </w:t>
      </w:r>
      <w:r w:rsidRPr="77309DD2" w:rsidR="57C6B672">
        <w:rPr>
          <w:rFonts w:ascii="Segoe UI" w:hAnsi="Segoe UI" w:eastAsia="Segoe UI" w:cs="Segoe UI"/>
          <w:b w:val="0"/>
          <w:bCs w:val="0"/>
          <w:i w:val="1"/>
          <w:iCs w:val="1"/>
          <w:caps w:val="0"/>
          <w:smallCaps w:val="0"/>
          <w:color w:val="auto"/>
          <w:sz w:val="18"/>
          <w:szCs w:val="18"/>
        </w:rPr>
        <w:t>Living Community Challenge</w:t>
      </w:r>
      <w:r w:rsidRPr="77309DD2" w:rsidR="57C6B672">
        <w:rPr>
          <w:rFonts w:ascii="Segoe UI" w:hAnsi="Segoe UI" w:eastAsia="Segoe UI" w:cs="Segoe UI"/>
          <w:b w:val="0"/>
          <w:bCs w:val="0"/>
          <w:i w:val="0"/>
          <w:iCs w:val="0"/>
          <w:caps w:val="0"/>
          <w:smallCaps w:val="0"/>
          <w:color w:val="auto"/>
          <w:sz w:val="18"/>
          <w:szCs w:val="18"/>
        </w:rPr>
        <w:t>.</w:t>
      </w:r>
    </w:p>
    <w:sectPr>
      <w:pgSz w:w="11906" w:h="16838" w:orient="portrait"/>
      <w:pgMar w:top="1440" w:right="1440" w:bottom="1440" w:left="1440" w:header="720" w:footer="720" w:gutter="0"/>
      <w:cols w:space="720"/>
      <w:docGrid w:linePitch="360"/>
      <w:headerReference w:type="default" r:id="R3cd99f03d6d04c08"/>
      <w:footerReference w:type="default" r:id="Rec8ab93ca896445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7D25D0" w:rsidTr="77309DD2" w14:paraId="0D76114C">
      <w:trPr>
        <w:trHeight w:val="300"/>
      </w:trPr>
      <w:tc>
        <w:tcPr>
          <w:tcW w:w="3005" w:type="dxa"/>
          <w:tcMar/>
        </w:tcPr>
        <w:p w:rsidR="537D25D0" w:rsidP="537D25D0" w:rsidRDefault="537D25D0" w14:paraId="18425A16" w14:textId="644864E3">
          <w:pPr>
            <w:pStyle w:val="Header"/>
            <w:bidi w:val="0"/>
            <w:ind w:left="-115"/>
            <w:jc w:val="left"/>
            <w:rPr/>
          </w:pPr>
        </w:p>
      </w:tc>
      <w:tc>
        <w:tcPr>
          <w:tcW w:w="3005" w:type="dxa"/>
          <w:tcMar/>
        </w:tcPr>
        <w:p w:rsidR="537D25D0" w:rsidP="537D25D0" w:rsidRDefault="537D25D0" w14:paraId="0CD87EEA" w14:textId="435BF3A4">
          <w:pPr>
            <w:pStyle w:val="Header"/>
            <w:bidi w:val="0"/>
            <w:jc w:val="center"/>
            <w:rPr/>
          </w:pPr>
        </w:p>
      </w:tc>
      <w:tc>
        <w:tcPr>
          <w:tcW w:w="3005" w:type="dxa"/>
          <w:tcMar/>
        </w:tcPr>
        <w:p w:rsidR="537D25D0" w:rsidP="537D25D0" w:rsidRDefault="537D25D0" w14:paraId="73B034D6" w14:textId="2DBB290B">
          <w:pPr>
            <w:pStyle w:val="Header"/>
            <w:bidi w:val="0"/>
            <w:ind w:right="-115"/>
            <w:jc w:val="right"/>
            <w:rPr/>
          </w:pPr>
        </w:p>
      </w:tc>
    </w:tr>
  </w:tbl>
  <w:p w:rsidR="537D25D0" w:rsidP="537D25D0" w:rsidRDefault="537D25D0" w14:paraId="3577A163" w14:textId="0F45BD28">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37D25D0" w:rsidTr="77309DD2" w14:paraId="4984F674">
      <w:trPr>
        <w:trHeight w:val="300"/>
      </w:trPr>
      <w:tc>
        <w:tcPr>
          <w:tcW w:w="3005" w:type="dxa"/>
          <w:tcMar/>
        </w:tcPr>
        <w:p w:rsidR="537D25D0" w:rsidP="537D25D0" w:rsidRDefault="537D25D0" w14:paraId="586C32CD" w14:textId="4FE1E7BC">
          <w:pPr>
            <w:pStyle w:val="Header"/>
            <w:bidi w:val="0"/>
            <w:ind w:left="-115"/>
            <w:jc w:val="left"/>
            <w:rPr/>
          </w:pPr>
        </w:p>
      </w:tc>
      <w:tc>
        <w:tcPr>
          <w:tcW w:w="3005" w:type="dxa"/>
          <w:tcMar/>
        </w:tcPr>
        <w:p w:rsidR="537D25D0" w:rsidP="537D25D0" w:rsidRDefault="537D25D0" w14:paraId="556EE8C7" w14:textId="6037A998">
          <w:pPr>
            <w:pStyle w:val="Header"/>
            <w:bidi w:val="0"/>
            <w:jc w:val="center"/>
            <w:rPr/>
          </w:pPr>
        </w:p>
      </w:tc>
      <w:tc>
        <w:tcPr>
          <w:tcW w:w="3005" w:type="dxa"/>
          <w:tcMar/>
        </w:tcPr>
        <w:p w:rsidR="537D25D0" w:rsidP="537D25D0" w:rsidRDefault="537D25D0" w14:paraId="02B43CDD" w14:textId="611316DF">
          <w:pPr>
            <w:pStyle w:val="Header"/>
            <w:bidi w:val="0"/>
            <w:ind w:right="-115"/>
            <w:jc w:val="right"/>
            <w:rPr/>
          </w:pPr>
        </w:p>
      </w:tc>
    </w:tr>
  </w:tbl>
  <w:p w:rsidR="537D25D0" w:rsidP="537D25D0" w:rsidRDefault="537D25D0" w14:paraId="01ED54ED" w14:textId="370299E6">
    <w:pPr>
      <w:pStyle w:val="Header"/>
      <w:bidi w:val="0"/>
      <w:rPr/>
    </w:pPr>
  </w:p>
</w:hdr>
</file>

<file path=word/numbering.xml><?xml version="1.0" encoding="utf-8"?>
<w:numbering xmlns:w="http://schemas.openxmlformats.org/wordprocessingml/2006/main">
  <w:abstractNum xmlns:w="http://schemas.openxmlformats.org/wordprocessingml/2006/main" w:abstractNumId="1">
    <w:nsid w:val="3b254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2BEB1"/>
    <w:rsid w:val="002841F2"/>
    <w:rsid w:val="01A1BEF7"/>
    <w:rsid w:val="0263E4DB"/>
    <w:rsid w:val="027FECFD"/>
    <w:rsid w:val="03EA94F4"/>
    <w:rsid w:val="04FBB315"/>
    <w:rsid w:val="05901380"/>
    <w:rsid w:val="05BA54BC"/>
    <w:rsid w:val="05F8EC1A"/>
    <w:rsid w:val="07490C1A"/>
    <w:rsid w:val="0750E29F"/>
    <w:rsid w:val="07845502"/>
    <w:rsid w:val="081D52A8"/>
    <w:rsid w:val="0846491D"/>
    <w:rsid w:val="08A2BEB1"/>
    <w:rsid w:val="0CA3B3D5"/>
    <w:rsid w:val="0D145B43"/>
    <w:rsid w:val="0E886BF3"/>
    <w:rsid w:val="0EE6B49F"/>
    <w:rsid w:val="1069055E"/>
    <w:rsid w:val="112D4170"/>
    <w:rsid w:val="1154725E"/>
    <w:rsid w:val="11A3B292"/>
    <w:rsid w:val="12CEF52F"/>
    <w:rsid w:val="13756A1A"/>
    <w:rsid w:val="14F113A1"/>
    <w:rsid w:val="1555E350"/>
    <w:rsid w:val="17640115"/>
    <w:rsid w:val="17B14425"/>
    <w:rsid w:val="18F88DF6"/>
    <w:rsid w:val="1AD377E3"/>
    <w:rsid w:val="1ADD72CA"/>
    <w:rsid w:val="1B57AA05"/>
    <w:rsid w:val="1BE7F334"/>
    <w:rsid w:val="1C5BB2F9"/>
    <w:rsid w:val="1C9D83BC"/>
    <w:rsid w:val="1D01A9F5"/>
    <w:rsid w:val="1D5B80D8"/>
    <w:rsid w:val="1EE0100C"/>
    <w:rsid w:val="1F22CE87"/>
    <w:rsid w:val="1FCF6105"/>
    <w:rsid w:val="20383506"/>
    <w:rsid w:val="208716AE"/>
    <w:rsid w:val="216B3166"/>
    <w:rsid w:val="228F78C4"/>
    <w:rsid w:val="23509EFB"/>
    <w:rsid w:val="238B37A1"/>
    <w:rsid w:val="23F33176"/>
    <w:rsid w:val="2408D377"/>
    <w:rsid w:val="242B4925"/>
    <w:rsid w:val="24F1771E"/>
    <w:rsid w:val="25130AAF"/>
    <w:rsid w:val="2667E223"/>
    <w:rsid w:val="27C10933"/>
    <w:rsid w:val="281E43AE"/>
    <w:rsid w:val="28310566"/>
    <w:rsid w:val="2A3E0DA0"/>
    <w:rsid w:val="2C0BDBFF"/>
    <w:rsid w:val="2D047689"/>
    <w:rsid w:val="2D07A84F"/>
    <w:rsid w:val="2D51413C"/>
    <w:rsid w:val="2ED63AC6"/>
    <w:rsid w:val="3015F9A6"/>
    <w:rsid w:val="307D6FE1"/>
    <w:rsid w:val="3192346A"/>
    <w:rsid w:val="31AFA8E3"/>
    <w:rsid w:val="329B32B5"/>
    <w:rsid w:val="3373B80D"/>
    <w:rsid w:val="33D5D759"/>
    <w:rsid w:val="34A9B410"/>
    <w:rsid w:val="3512BA34"/>
    <w:rsid w:val="35700F37"/>
    <w:rsid w:val="35FC6C63"/>
    <w:rsid w:val="36D22F33"/>
    <w:rsid w:val="37BF4314"/>
    <w:rsid w:val="386DFF94"/>
    <w:rsid w:val="38D908C7"/>
    <w:rsid w:val="3927070F"/>
    <w:rsid w:val="3A2BF080"/>
    <w:rsid w:val="3DEC77E9"/>
    <w:rsid w:val="3E33697E"/>
    <w:rsid w:val="3FB59131"/>
    <w:rsid w:val="412FAB7B"/>
    <w:rsid w:val="41516192"/>
    <w:rsid w:val="4171A2A6"/>
    <w:rsid w:val="418EF4F7"/>
    <w:rsid w:val="4282EA54"/>
    <w:rsid w:val="42C8A60C"/>
    <w:rsid w:val="42ED31F3"/>
    <w:rsid w:val="444784D2"/>
    <w:rsid w:val="45282FCA"/>
    <w:rsid w:val="4607A0CD"/>
    <w:rsid w:val="463A85A9"/>
    <w:rsid w:val="47A3712E"/>
    <w:rsid w:val="47E411FF"/>
    <w:rsid w:val="48061E1A"/>
    <w:rsid w:val="4A416FBA"/>
    <w:rsid w:val="4DC556EE"/>
    <w:rsid w:val="4E0B58B3"/>
    <w:rsid w:val="50709B35"/>
    <w:rsid w:val="512AFD48"/>
    <w:rsid w:val="52B0D7CA"/>
    <w:rsid w:val="5332BC9D"/>
    <w:rsid w:val="537D25D0"/>
    <w:rsid w:val="5489E1BC"/>
    <w:rsid w:val="571E5ED9"/>
    <w:rsid w:val="57C1827E"/>
    <w:rsid w:val="57C6B672"/>
    <w:rsid w:val="586567B3"/>
    <w:rsid w:val="599D2D76"/>
    <w:rsid w:val="5C388D98"/>
    <w:rsid w:val="5D7D057C"/>
    <w:rsid w:val="5E58DAE3"/>
    <w:rsid w:val="5F5E365F"/>
    <w:rsid w:val="6097E774"/>
    <w:rsid w:val="61A8FF51"/>
    <w:rsid w:val="6345D215"/>
    <w:rsid w:val="6372B9EA"/>
    <w:rsid w:val="651A4718"/>
    <w:rsid w:val="66634E5B"/>
    <w:rsid w:val="6762622F"/>
    <w:rsid w:val="67D37E0F"/>
    <w:rsid w:val="68543A76"/>
    <w:rsid w:val="68A2F959"/>
    <w:rsid w:val="69562613"/>
    <w:rsid w:val="69B51399"/>
    <w:rsid w:val="69F024C4"/>
    <w:rsid w:val="6A3EC9BA"/>
    <w:rsid w:val="6A419930"/>
    <w:rsid w:val="6A6AF974"/>
    <w:rsid w:val="6B8BF525"/>
    <w:rsid w:val="6C8DC6D5"/>
    <w:rsid w:val="6CD28FDF"/>
    <w:rsid w:val="6E051F36"/>
    <w:rsid w:val="6F3075D1"/>
    <w:rsid w:val="6F431F74"/>
    <w:rsid w:val="6FC56797"/>
    <w:rsid w:val="71F95511"/>
    <w:rsid w:val="72592324"/>
    <w:rsid w:val="74F62DBD"/>
    <w:rsid w:val="772C9447"/>
    <w:rsid w:val="77309DD2"/>
    <w:rsid w:val="778F4133"/>
    <w:rsid w:val="7814A622"/>
    <w:rsid w:val="78C864A8"/>
    <w:rsid w:val="790A0198"/>
    <w:rsid w:val="792329F5"/>
    <w:rsid w:val="7B2F881A"/>
    <w:rsid w:val="7B4C46E4"/>
    <w:rsid w:val="7C278FB2"/>
    <w:rsid w:val="7CE81745"/>
    <w:rsid w:val="7D7B53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BEB1"/>
  <w15:chartTrackingRefBased/>
  <w15:docId w15:val="{80FC7CAF-1607-4E48-BA17-64072267FC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7309DD2"/>
    <w:rPr>
      <w:noProof w:val="0"/>
      <w:lang w:val="es-MX"/>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309DD2"/>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w:type="paragraph" w:styleId="Header">
    <w:uiPriority w:val="99"/>
    <w:name w:val="header"/>
    <w:basedOn w:val="Normal"/>
    <w:unhideWhenUsed/>
    <w:link w:val="HeaderChar"/>
    <w:rsid w:val="77309DD2"/>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w:type="paragraph" w:styleId="Footer">
    <w:uiPriority w:val="99"/>
    <w:name w:val="footer"/>
    <w:basedOn w:val="Normal"/>
    <w:unhideWhenUsed/>
    <w:link w:val="FooterChar"/>
    <w:rsid w:val="77309DD2"/>
    <w:pPr>
      <w:tabs>
        <w:tab w:val="center" w:leader="none" w:pos="4680"/>
        <w:tab w:val="right" w:leader="none" w:pos="9360"/>
      </w:tabs>
      <w:spacing w:after="0" w:line="240" w:lineRule="auto"/>
    </w:pPr>
  </w:style>
  <w:style w:type="paragraph" w:styleId="Heading1">
    <w:uiPriority w:val="9"/>
    <w:name w:val="heading 1"/>
    <w:basedOn w:val="Normal"/>
    <w:next w:val="Normal"/>
    <w:link w:val="Heading1Char"/>
    <w:qFormat/>
    <w:rsid w:val="77309DD2"/>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77309DD2"/>
    <w:rPr>
      <w:rFonts w:ascii="Calibri Light" w:hAnsi="Calibri Light" w:eastAsia="" w:cs="" w:asciiTheme="majorAscii" w:hAnsiTheme="majorAscii" w:eastAsiaTheme="majorEastAsia" w:cstheme="majorBidi"/>
      <w:color w:val="2F5496" w:themeColor="accent1" w:themeTint="FF" w:themeShade="BF"/>
      <w:sz w:val="26"/>
      <w:szCs w:val="26"/>
    </w:rPr>
    <w:pPr>
      <w:keepNext w:val="1"/>
      <w:keepLines w:val="1"/>
      <w:spacing w:before="40" w:after="0"/>
      <w:outlineLvl w:val="1"/>
    </w:pPr>
  </w:style>
  <w:style w:type="paragraph" w:styleId="Heading3">
    <w:uiPriority w:val="9"/>
    <w:name w:val="heading 3"/>
    <w:basedOn w:val="Normal"/>
    <w:next w:val="Normal"/>
    <w:unhideWhenUsed/>
    <w:link w:val="Heading3Char"/>
    <w:qFormat/>
    <w:rsid w:val="77309DD2"/>
    <w:rPr>
      <w:rFonts w:ascii="Calibri Light" w:hAnsi="Calibri Light" w:eastAsia="" w:cs="" w:asciiTheme="majorAscii" w:hAnsiTheme="majorAscii" w:eastAsiaTheme="majorEastAsia" w:cstheme="majorBidi"/>
      <w:color w:val="1F3763"/>
      <w:sz w:val="24"/>
      <w:szCs w:val="24"/>
    </w:rPr>
    <w:pPr>
      <w:keepNext w:val="1"/>
      <w:keepLines w:val="1"/>
      <w:spacing w:before="40" w:after="0"/>
      <w:outlineLvl w:val="2"/>
    </w:pPr>
  </w:style>
  <w:style w:type="paragraph" w:styleId="Heading4">
    <w:uiPriority w:val="9"/>
    <w:name w:val="heading 4"/>
    <w:basedOn w:val="Normal"/>
    <w:next w:val="Normal"/>
    <w:unhideWhenUsed/>
    <w:link w:val="Heading4Char"/>
    <w:qFormat/>
    <w:rsid w:val="77309DD2"/>
    <w:rPr>
      <w:rFonts w:ascii="Calibri Light" w:hAnsi="Calibri Light" w:eastAsia="" w:cs="" w:asciiTheme="majorAscii" w:hAnsiTheme="majorAscii" w:eastAsiaTheme="majorEastAsia" w:cstheme="majorBidi"/>
      <w:i w:val="1"/>
      <w:iCs w:val="1"/>
      <w:color w:val="2F5496"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77309DD2"/>
    <w:rPr>
      <w:rFonts w:ascii="Calibri Light" w:hAnsi="Calibri Light" w:eastAsia="" w:cs="" w:asciiTheme="majorAscii" w:hAnsiTheme="majorAscii" w:eastAsiaTheme="majorEastAsia" w:cstheme="majorBidi"/>
      <w:color w:val="2F5496"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77309DD2"/>
    <w:rPr>
      <w:rFonts w:ascii="Calibri Light" w:hAnsi="Calibri Light" w:eastAsia="" w:cs="" w:asciiTheme="majorAscii" w:hAnsiTheme="majorAscii" w:eastAsiaTheme="majorEastAsia" w:cstheme="majorBidi"/>
      <w:color w:val="1F3763"/>
    </w:rPr>
    <w:pPr>
      <w:keepNext w:val="1"/>
      <w:keepLines w:val="1"/>
      <w:spacing w:before="40" w:after="0"/>
      <w:outlineLvl w:val="5"/>
    </w:pPr>
  </w:style>
  <w:style w:type="paragraph" w:styleId="Heading7">
    <w:uiPriority w:val="9"/>
    <w:name w:val="heading 7"/>
    <w:basedOn w:val="Normal"/>
    <w:next w:val="Normal"/>
    <w:unhideWhenUsed/>
    <w:link w:val="Heading7Char"/>
    <w:qFormat/>
    <w:rsid w:val="77309DD2"/>
    <w:rPr>
      <w:rFonts w:ascii="Calibri Light" w:hAnsi="Calibri Light" w:eastAsia="" w:cs="" w:asciiTheme="majorAscii" w:hAnsiTheme="majorAscii" w:eastAsiaTheme="majorEastAsia" w:cstheme="majorBidi"/>
      <w:i w:val="1"/>
      <w:iCs w:val="1"/>
      <w:color w:val="1F3763"/>
    </w:rPr>
    <w:pPr>
      <w:keepNext w:val="1"/>
      <w:keepLines w:val="1"/>
      <w:spacing w:before="40" w:after="0"/>
      <w:outlineLvl w:val="6"/>
    </w:pPr>
  </w:style>
  <w:style w:type="paragraph" w:styleId="Heading8">
    <w:uiPriority w:val="9"/>
    <w:name w:val="heading 8"/>
    <w:basedOn w:val="Normal"/>
    <w:next w:val="Normal"/>
    <w:unhideWhenUsed/>
    <w:link w:val="Heading8Char"/>
    <w:qFormat/>
    <w:rsid w:val="77309DD2"/>
    <w:rPr>
      <w:rFonts w:ascii="Calibri Light" w:hAnsi="Calibri Light"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77309DD2"/>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77309DD2"/>
    <w:rPr>
      <w:rFonts w:ascii="Calibri Light" w:hAnsi="Calibri Light" w:eastAsia="" w:cs="" w:asciiTheme="majorAscii" w:hAnsiTheme="majorAscii" w:eastAsiaTheme="majorEastAsia" w:cstheme="majorBidi"/>
      <w:sz w:val="56"/>
      <w:szCs w:val="56"/>
    </w:rPr>
    <w:pPr>
      <w:spacing w:after="0" w:line="240" w:lineRule="auto"/>
      <w:contextualSpacing/>
    </w:pPr>
  </w:style>
  <w:style w:type="paragraph" w:styleId="Subtitle">
    <w:uiPriority w:val="11"/>
    <w:name w:val="Subtitle"/>
    <w:basedOn w:val="Normal"/>
    <w:next w:val="Normal"/>
    <w:link w:val="SubtitleChar"/>
    <w:qFormat/>
    <w:rsid w:val="77309DD2"/>
    <w:rPr>
      <w:rFonts w:eastAsia="" w:eastAsiaTheme="minorEastAsia"/>
      <w:color w:val="5A5A5A"/>
    </w:rPr>
  </w:style>
  <w:style w:type="paragraph" w:styleId="Quote">
    <w:uiPriority w:val="29"/>
    <w:name w:val="Quote"/>
    <w:basedOn w:val="Normal"/>
    <w:next w:val="Normal"/>
    <w:link w:val="QuoteChar"/>
    <w:qFormat/>
    <w:rsid w:val="77309DD2"/>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77309DD2"/>
    <w:rPr>
      <w:i w:val="1"/>
      <w:iCs w:val="1"/>
      <w:color w:val="4472C4" w:themeColor="accent1" w:themeTint="FF" w:themeShade="FF"/>
    </w:rPr>
    <w:pPr>
      <w:spacing w:before="360" w:after="360"/>
      <w:ind w:left="864" w:right="864"/>
      <w:jc w:val="center"/>
    </w:pPr>
  </w:style>
  <w:style w:type="paragraph" w:styleId="TOC1">
    <w:uiPriority w:val="39"/>
    <w:name w:val="toc 1"/>
    <w:basedOn w:val="Normal"/>
    <w:next w:val="Normal"/>
    <w:unhideWhenUsed/>
    <w:rsid w:val="77309DD2"/>
    <w:pPr>
      <w:spacing w:after="100"/>
    </w:pPr>
  </w:style>
  <w:style w:type="paragraph" w:styleId="TOC2">
    <w:uiPriority w:val="39"/>
    <w:name w:val="toc 2"/>
    <w:basedOn w:val="Normal"/>
    <w:next w:val="Normal"/>
    <w:unhideWhenUsed/>
    <w:rsid w:val="77309DD2"/>
    <w:pPr>
      <w:spacing w:after="100"/>
      <w:ind w:left="220"/>
    </w:pPr>
  </w:style>
  <w:style w:type="paragraph" w:styleId="TOC3">
    <w:uiPriority w:val="39"/>
    <w:name w:val="toc 3"/>
    <w:basedOn w:val="Normal"/>
    <w:next w:val="Normal"/>
    <w:unhideWhenUsed/>
    <w:rsid w:val="77309DD2"/>
    <w:pPr>
      <w:spacing w:after="100"/>
      <w:ind w:left="440"/>
    </w:pPr>
  </w:style>
  <w:style w:type="paragraph" w:styleId="TOC4">
    <w:uiPriority w:val="39"/>
    <w:name w:val="toc 4"/>
    <w:basedOn w:val="Normal"/>
    <w:next w:val="Normal"/>
    <w:unhideWhenUsed/>
    <w:rsid w:val="77309DD2"/>
    <w:pPr>
      <w:spacing w:after="100"/>
      <w:ind w:left="660"/>
    </w:pPr>
  </w:style>
  <w:style w:type="paragraph" w:styleId="TOC5">
    <w:uiPriority w:val="39"/>
    <w:name w:val="toc 5"/>
    <w:basedOn w:val="Normal"/>
    <w:next w:val="Normal"/>
    <w:unhideWhenUsed/>
    <w:rsid w:val="77309DD2"/>
    <w:pPr>
      <w:spacing w:after="100"/>
      <w:ind w:left="880"/>
    </w:pPr>
  </w:style>
  <w:style w:type="paragraph" w:styleId="TOC6">
    <w:uiPriority w:val="39"/>
    <w:name w:val="toc 6"/>
    <w:basedOn w:val="Normal"/>
    <w:next w:val="Normal"/>
    <w:unhideWhenUsed/>
    <w:rsid w:val="77309DD2"/>
    <w:pPr>
      <w:spacing w:after="100"/>
      <w:ind w:left="1100"/>
    </w:pPr>
  </w:style>
  <w:style w:type="paragraph" w:styleId="TOC7">
    <w:uiPriority w:val="39"/>
    <w:name w:val="toc 7"/>
    <w:basedOn w:val="Normal"/>
    <w:next w:val="Normal"/>
    <w:unhideWhenUsed/>
    <w:rsid w:val="77309DD2"/>
    <w:pPr>
      <w:spacing w:after="100"/>
      <w:ind w:left="1320"/>
    </w:pPr>
  </w:style>
  <w:style w:type="paragraph" w:styleId="TOC8">
    <w:uiPriority w:val="39"/>
    <w:name w:val="toc 8"/>
    <w:basedOn w:val="Normal"/>
    <w:next w:val="Normal"/>
    <w:unhideWhenUsed/>
    <w:rsid w:val="77309DD2"/>
    <w:pPr>
      <w:spacing w:after="100"/>
      <w:ind w:left="1540"/>
    </w:pPr>
  </w:style>
  <w:style w:type="paragraph" w:styleId="TOC9">
    <w:uiPriority w:val="39"/>
    <w:name w:val="toc 9"/>
    <w:basedOn w:val="Normal"/>
    <w:next w:val="Normal"/>
    <w:unhideWhenUsed/>
    <w:rsid w:val="77309DD2"/>
    <w:pPr>
      <w:spacing w:after="100"/>
      <w:ind w:left="1760"/>
    </w:pPr>
  </w:style>
  <w:style w:type="paragraph" w:styleId="EndnoteText">
    <w:uiPriority w:val="99"/>
    <w:name w:val="endnote text"/>
    <w:basedOn w:val="Normal"/>
    <w:semiHidden/>
    <w:unhideWhenUsed/>
    <w:link w:val="EndnoteTextChar"/>
    <w:rsid w:val="77309DD2"/>
    <w:rPr>
      <w:sz w:val="20"/>
      <w:szCs w:val="20"/>
    </w:rPr>
    <w:pPr>
      <w:spacing w:after="0" w:line="240" w:lineRule="auto"/>
    </w:pPr>
  </w:style>
  <w:style w:type="paragraph" w:styleId="FootnoteText">
    <w:uiPriority w:val="99"/>
    <w:name w:val="footnote text"/>
    <w:basedOn w:val="Normal"/>
    <w:semiHidden/>
    <w:unhideWhenUsed/>
    <w:link w:val="FootnoteTextChar"/>
    <w:rsid w:val="77309DD2"/>
    <w:rPr>
      <w:sz w:val="20"/>
      <w:szCs w:val="20"/>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cd99f03d6d04c08" /><Relationship Type="http://schemas.openxmlformats.org/officeDocument/2006/relationships/footer" Target="footer.xml" Id="Rec8ab93ca896445d" /><Relationship Type="http://schemas.openxmlformats.org/officeDocument/2006/relationships/numbering" Target="numbering.xml" Id="R592a077e91584b5f" /><Relationship Type="http://schemas.openxmlformats.org/officeDocument/2006/relationships/image" Target="/media/image3.png" Id="Ra640b80e847c4c08" /><Relationship Type="http://schemas.openxmlformats.org/officeDocument/2006/relationships/hyperlink" Target="https://www.jll.com.mx/es/trends-and-insights/research/descarbonizacion-de-ciudades-y-activos-inmobiliarios" TargetMode="External" Id="R5f5c40c2e9fc4e44" /><Relationship Type="http://schemas.openxmlformats.org/officeDocument/2006/relationships/hyperlink" Target="mailto:info@reservasantafe.com" TargetMode="External" Id="Rbb134e04b02d4d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5" ma:contentTypeDescription="Create a new document." ma:contentTypeScope="" ma:versionID="ed3f8181f8a24a119c73e51e84ecda18">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a986873606afd8e371f567aef2d224ca"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SharedWithUsers xmlns="928b6d83-b05c-43e3-bd10-fc841b0bdb73">
      <UserInfo>
        <DisplayName>Andrea Echavarría Rodríguez</DisplayName>
        <AccountId>27</AccountId>
        <AccountType/>
      </UserInfo>
      <UserInfo>
        <DisplayName>Daniela Perez</DisplayName>
        <AccountId>66</AccountId>
        <AccountType/>
      </UserInfo>
      <UserInfo>
        <DisplayName>Fernando Fuentes</DisplayName>
        <AccountId>70</AccountId>
        <AccountType/>
      </UserInfo>
      <UserInfo>
        <DisplayName>Rodrigo  de Alba</DisplayName>
        <AccountId>68</AccountId>
        <AccountType/>
      </UserInfo>
    </SharedWithUsers>
  </documentManagement>
</p:properties>
</file>

<file path=customXml/itemProps1.xml><?xml version="1.0" encoding="utf-8"?>
<ds:datastoreItem xmlns:ds="http://schemas.openxmlformats.org/officeDocument/2006/customXml" ds:itemID="{0C10DAEC-CCF1-499C-A8AB-2878269004A8}"/>
</file>

<file path=customXml/itemProps2.xml><?xml version="1.0" encoding="utf-8"?>
<ds:datastoreItem xmlns:ds="http://schemas.openxmlformats.org/officeDocument/2006/customXml" ds:itemID="{222D0CC4-1104-43A5-A9D9-439274FDAB78}"/>
</file>

<file path=customXml/itemProps3.xml><?xml version="1.0" encoding="utf-8"?>
<ds:datastoreItem xmlns:ds="http://schemas.openxmlformats.org/officeDocument/2006/customXml" ds:itemID="{D177E4B5-D11A-4A7A-91E0-D7DE0E12D0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Daniela Perez</lastModifiedBy>
  <dcterms:created xsi:type="dcterms:W3CDTF">2024-04-01T17:29:48.0000000Z</dcterms:created>
  <dcterms:modified xsi:type="dcterms:W3CDTF">2024-04-10T16:24:29.3706557Z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