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DB07" w14:textId="1D2893A0" w:rsidR="237A84DF" w:rsidRDefault="285FAF6C" w:rsidP="60C4587D">
      <w:pPr>
        <w:spacing w:before="240" w:after="240"/>
        <w:jc w:val="center"/>
        <w:rPr>
          <w:rFonts w:ascii="Calibri" w:eastAsia="Calibri" w:hAnsi="Calibri" w:cs="Calibri"/>
          <w:b/>
          <w:bCs/>
          <w:sz w:val="20"/>
          <w:szCs w:val="20"/>
        </w:rPr>
      </w:pPr>
      <w:r w:rsidRPr="60C4587D">
        <w:rPr>
          <w:rFonts w:ascii="Calibri" w:eastAsia="Calibri" w:hAnsi="Calibri" w:cs="Calibri"/>
          <w:b/>
          <w:bCs/>
          <w:sz w:val="20"/>
          <w:szCs w:val="20"/>
        </w:rPr>
        <w:t>Las tendencias inmobiliarias de 2025: Innovación, sostenibilidad y diseño humano</w:t>
      </w:r>
      <w:r w:rsidR="6A05A269" w:rsidRPr="60C4587D">
        <w:rPr>
          <w:rFonts w:ascii="Calibri" w:eastAsia="Calibri" w:hAnsi="Calibri" w:cs="Calibri"/>
          <w:b/>
          <w:bCs/>
          <w:sz w:val="20"/>
          <w:szCs w:val="20"/>
        </w:rPr>
        <w:t>.</w:t>
      </w:r>
    </w:p>
    <w:p w14:paraId="28B3CDBF" w14:textId="449FB527" w:rsidR="320B9AC3" w:rsidRDefault="6A05A269" w:rsidP="60C4587D">
      <w:pPr>
        <w:pStyle w:val="ListParagraph"/>
        <w:numPr>
          <w:ilvl w:val="0"/>
          <w:numId w:val="2"/>
        </w:numPr>
        <w:rPr>
          <w:rFonts w:ascii="Calibri" w:eastAsia="Calibri" w:hAnsi="Calibri" w:cs="Calibri"/>
          <w:i/>
          <w:iCs/>
          <w:color w:val="000000" w:themeColor="text1"/>
          <w:sz w:val="20"/>
          <w:szCs w:val="20"/>
        </w:rPr>
      </w:pPr>
      <w:r w:rsidRPr="60C4587D">
        <w:rPr>
          <w:rFonts w:ascii="Calibri" w:eastAsia="Calibri" w:hAnsi="Calibri" w:cs="Calibri"/>
          <w:i/>
          <w:iCs/>
          <w:sz w:val="20"/>
          <w:szCs w:val="20"/>
        </w:rPr>
        <w:t>La c</w:t>
      </w:r>
      <w:r w:rsidR="29E29D12" w:rsidRPr="60C4587D">
        <w:rPr>
          <w:rFonts w:ascii="Calibri" w:eastAsia="Calibri" w:hAnsi="Calibri" w:cs="Calibri"/>
          <w:i/>
          <w:iCs/>
          <w:sz w:val="20"/>
          <w:szCs w:val="20"/>
        </w:rPr>
        <w:t xml:space="preserve">onstrucción sostenible, materiales reciclados, </w:t>
      </w:r>
      <w:r w:rsidR="0F870FA8" w:rsidRPr="60C4587D">
        <w:rPr>
          <w:rFonts w:ascii="Calibri" w:eastAsia="Calibri" w:hAnsi="Calibri" w:cs="Calibri"/>
          <w:i/>
          <w:iCs/>
          <w:sz w:val="20"/>
          <w:szCs w:val="20"/>
        </w:rPr>
        <w:t>y la</w:t>
      </w:r>
      <w:r w:rsidR="29E29D12" w:rsidRPr="60C4587D">
        <w:rPr>
          <w:rFonts w:ascii="Calibri" w:eastAsia="Calibri" w:hAnsi="Calibri" w:cs="Calibri"/>
          <w:i/>
          <w:iCs/>
          <w:sz w:val="20"/>
          <w:szCs w:val="20"/>
        </w:rPr>
        <w:t xml:space="preserve"> inteligencia artificial, forman </w:t>
      </w:r>
      <w:r w:rsidR="67BA907F" w:rsidRPr="60C4587D">
        <w:rPr>
          <w:rFonts w:ascii="Calibri" w:eastAsia="Calibri" w:hAnsi="Calibri" w:cs="Calibri"/>
          <w:i/>
          <w:iCs/>
          <w:sz w:val="20"/>
          <w:szCs w:val="20"/>
        </w:rPr>
        <w:t>parte de</w:t>
      </w:r>
      <w:r w:rsidR="58E68421" w:rsidRPr="60C4587D">
        <w:rPr>
          <w:rFonts w:ascii="Calibri" w:eastAsia="Calibri" w:hAnsi="Calibri" w:cs="Calibri"/>
          <w:i/>
          <w:iCs/>
          <w:sz w:val="20"/>
          <w:szCs w:val="20"/>
        </w:rPr>
        <w:t xml:space="preserve"> los lineamientos a los que apunta la industria este año.</w:t>
      </w:r>
    </w:p>
    <w:p w14:paraId="31F4886A" w14:textId="4467979C" w:rsidR="320B9AC3" w:rsidRDefault="58E68421" w:rsidP="60C4587D">
      <w:pPr>
        <w:pStyle w:val="ListParagraph"/>
        <w:numPr>
          <w:ilvl w:val="0"/>
          <w:numId w:val="2"/>
        </w:numPr>
        <w:rPr>
          <w:rFonts w:ascii="Calibri" w:eastAsia="Calibri" w:hAnsi="Calibri" w:cs="Calibri"/>
          <w:i/>
          <w:iCs/>
          <w:color w:val="000000" w:themeColor="text1"/>
          <w:sz w:val="20"/>
          <w:szCs w:val="20"/>
        </w:rPr>
      </w:pPr>
      <w:r w:rsidRPr="60C4587D">
        <w:rPr>
          <w:rFonts w:ascii="Calibri" w:eastAsia="Calibri" w:hAnsi="Calibri" w:cs="Calibri"/>
          <w:i/>
          <w:iCs/>
          <w:sz w:val="20"/>
          <w:szCs w:val="20"/>
        </w:rPr>
        <w:t xml:space="preserve">Armando Turrent, CEO de </w:t>
      </w:r>
      <w:r w:rsidRPr="60C4587D">
        <w:rPr>
          <w:rFonts w:ascii="Calibri" w:eastAsia="Calibri" w:hAnsi="Calibri" w:cs="Calibri"/>
          <w:b/>
          <w:bCs/>
          <w:i/>
          <w:iCs/>
          <w:sz w:val="20"/>
          <w:szCs w:val="20"/>
        </w:rPr>
        <w:t>Reserva Santa Fe</w:t>
      </w:r>
      <w:r w:rsidRPr="60C4587D">
        <w:rPr>
          <w:rFonts w:ascii="Calibri" w:eastAsia="Calibri" w:hAnsi="Calibri" w:cs="Calibri"/>
          <w:i/>
          <w:iCs/>
          <w:sz w:val="20"/>
          <w:szCs w:val="20"/>
        </w:rPr>
        <w:t>, el único proyecto inmobiliario regenerativo en México y el mundo, comparte las tendencias inmobiliarias que dominarán la industria e</w:t>
      </w:r>
      <w:r w:rsidR="1B4C1294" w:rsidRPr="60C4587D">
        <w:rPr>
          <w:rFonts w:ascii="Calibri" w:eastAsia="Calibri" w:hAnsi="Calibri" w:cs="Calibri"/>
          <w:i/>
          <w:iCs/>
          <w:sz w:val="20"/>
          <w:szCs w:val="20"/>
        </w:rPr>
        <w:t xml:space="preserve">l próximo año. </w:t>
      </w:r>
    </w:p>
    <w:p w14:paraId="6ACECD1A" w14:textId="3C588795" w:rsidR="404F4FC7" w:rsidRDefault="404F4FC7" w:rsidP="60C4587D">
      <w:pPr>
        <w:pStyle w:val="ListParagraph"/>
        <w:jc w:val="center"/>
        <w:rPr>
          <w:rFonts w:ascii="PT Serif" w:eastAsia="PT Serif" w:hAnsi="PT Serif" w:cs="PT Serif"/>
          <w:i/>
          <w:iCs/>
          <w:color w:val="374151"/>
          <w:sz w:val="20"/>
          <w:szCs w:val="20"/>
        </w:rPr>
      </w:pPr>
    </w:p>
    <w:p w14:paraId="00477D59" w14:textId="309A7D2F" w:rsidR="0DB726A9" w:rsidRDefault="4B1B5F7C" w:rsidP="60C4587D">
      <w:pPr>
        <w:jc w:val="both"/>
        <w:rPr>
          <w:rFonts w:ascii="Calibri" w:eastAsia="Calibri" w:hAnsi="Calibri" w:cs="Calibri"/>
          <w:sz w:val="20"/>
          <w:szCs w:val="20"/>
        </w:rPr>
      </w:pPr>
      <w:r w:rsidRPr="429E542B">
        <w:rPr>
          <w:rFonts w:ascii="Calibri" w:eastAsia="Calibri" w:hAnsi="Calibri" w:cs="Calibri"/>
          <w:b/>
          <w:bCs/>
          <w:i/>
          <w:iCs/>
          <w:color w:val="000000" w:themeColor="text1"/>
          <w:sz w:val="20"/>
          <w:szCs w:val="20"/>
        </w:rPr>
        <w:t xml:space="preserve">Ciudad de México, </w:t>
      </w:r>
      <w:r w:rsidR="08E58AB7" w:rsidRPr="429E542B">
        <w:rPr>
          <w:rFonts w:ascii="Calibri" w:eastAsia="Calibri" w:hAnsi="Calibri" w:cs="Calibri"/>
          <w:b/>
          <w:bCs/>
          <w:i/>
          <w:iCs/>
          <w:color w:val="000000" w:themeColor="text1"/>
          <w:sz w:val="20"/>
          <w:szCs w:val="20"/>
        </w:rPr>
        <w:t>07</w:t>
      </w:r>
      <w:r w:rsidR="382C1D4F" w:rsidRPr="429E542B">
        <w:rPr>
          <w:rFonts w:ascii="Calibri" w:eastAsia="Calibri" w:hAnsi="Calibri" w:cs="Calibri"/>
          <w:b/>
          <w:bCs/>
          <w:i/>
          <w:iCs/>
          <w:color w:val="000000" w:themeColor="text1"/>
          <w:sz w:val="20"/>
          <w:szCs w:val="20"/>
        </w:rPr>
        <w:t xml:space="preserve"> </w:t>
      </w:r>
      <w:r w:rsidRPr="429E542B">
        <w:rPr>
          <w:rFonts w:ascii="Calibri" w:eastAsia="Calibri" w:hAnsi="Calibri" w:cs="Calibri"/>
          <w:b/>
          <w:bCs/>
          <w:i/>
          <w:iCs/>
          <w:color w:val="000000" w:themeColor="text1"/>
          <w:sz w:val="20"/>
          <w:szCs w:val="20"/>
        </w:rPr>
        <w:t xml:space="preserve">de </w:t>
      </w:r>
      <w:r w:rsidR="7A6034A7" w:rsidRPr="429E542B">
        <w:rPr>
          <w:rFonts w:ascii="Calibri" w:eastAsia="Calibri" w:hAnsi="Calibri" w:cs="Calibri"/>
          <w:b/>
          <w:bCs/>
          <w:i/>
          <w:iCs/>
          <w:color w:val="000000" w:themeColor="text1"/>
          <w:sz w:val="20"/>
          <w:szCs w:val="20"/>
        </w:rPr>
        <w:t xml:space="preserve">enero </w:t>
      </w:r>
      <w:r w:rsidRPr="429E542B">
        <w:rPr>
          <w:rFonts w:ascii="Calibri" w:eastAsia="Calibri" w:hAnsi="Calibri" w:cs="Calibri"/>
          <w:b/>
          <w:bCs/>
          <w:i/>
          <w:iCs/>
          <w:color w:val="000000" w:themeColor="text1"/>
          <w:sz w:val="20"/>
          <w:szCs w:val="20"/>
        </w:rPr>
        <w:t>de 202</w:t>
      </w:r>
      <w:r w:rsidR="003F1F1F">
        <w:rPr>
          <w:rFonts w:ascii="Calibri" w:eastAsia="Calibri" w:hAnsi="Calibri" w:cs="Calibri"/>
          <w:b/>
          <w:bCs/>
          <w:i/>
          <w:iCs/>
          <w:color w:val="000000" w:themeColor="text1"/>
          <w:sz w:val="20"/>
          <w:szCs w:val="20"/>
        </w:rPr>
        <w:t>5</w:t>
      </w:r>
      <w:r w:rsidRPr="429E542B">
        <w:rPr>
          <w:rFonts w:ascii="Calibri" w:eastAsia="Calibri" w:hAnsi="Calibri" w:cs="Calibri"/>
          <w:b/>
          <w:bCs/>
          <w:i/>
          <w:iCs/>
          <w:color w:val="000000" w:themeColor="text1"/>
          <w:sz w:val="20"/>
          <w:szCs w:val="20"/>
        </w:rPr>
        <w:t xml:space="preserve">. </w:t>
      </w:r>
      <w:r w:rsidR="4F3AF7B2" w:rsidRPr="429E542B">
        <w:rPr>
          <w:rFonts w:ascii="Calibri" w:eastAsia="Calibri" w:hAnsi="Calibri" w:cs="Calibri"/>
          <w:sz w:val="20"/>
          <w:szCs w:val="20"/>
        </w:rPr>
        <w:t xml:space="preserve">Con la llegada de un nuevo año, comienzan las tendencias en diversos ámbitos y este 2025 la sostenibilidad junto a la inteligencia artificial son una apuesta global, ya que el 2024 estuvo acaparado por noticias acerca del cambio climático, así como el uso de dicha tecnología para implementarla en todos los ámbitos. </w:t>
      </w:r>
    </w:p>
    <w:p w14:paraId="0F22D5C1" w14:textId="53BB0A60" w:rsidR="0A89EAC8" w:rsidRDefault="4FA61DBA" w:rsidP="1EDE1A1B">
      <w:pPr>
        <w:jc w:val="both"/>
        <w:rPr>
          <w:rFonts w:ascii="Calibri" w:eastAsia="Calibri" w:hAnsi="Calibri" w:cs="Calibri"/>
          <w:sz w:val="20"/>
          <w:szCs w:val="20"/>
        </w:rPr>
      </w:pPr>
      <w:r w:rsidRPr="1EDE1A1B">
        <w:rPr>
          <w:rFonts w:ascii="Calibri" w:eastAsia="Calibri" w:hAnsi="Calibri" w:cs="Calibri"/>
          <w:sz w:val="20"/>
          <w:szCs w:val="20"/>
        </w:rPr>
        <w:t xml:space="preserve">El panorama mundial tiene una apuesta por lo sostenible para la próxima década, de acuerdo con </w:t>
      </w:r>
      <w:r w:rsidR="3F259AFE" w:rsidRPr="1EDE1A1B">
        <w:rPr>
          <w:rFonts w:ascii="Calibri" w:eastAsia="Calibri" w:hAnsi="Calibri" w:cs="Calibri"/>
          <w:sz w:val="20"/>
          <w:szCs w:val="20"/>
        </w:rPr>
        <w:t xml:space="preserve">el </w:t>
      </w:r>
      <w:hyperlink r:id="rId10">
        <w:r w:rsidR="3F259AFE" w:rsidRPr="1EDE1A1B">
          <w:rPr>
            <w:rStyle w:val="Hyperlink"/>
            <w:rFonts w:ascii="Calibri" w:eastAsia="Calibri" w:hAnsi="Calibri" w:cs="Calibri"/>
            <w:i/>
            <w:iCs/>
            <w:color w:val="auto"/>
            <w:sz w:val="20"/>
            <w:szCs w:val="20"/>
          </w:rPr>
          <w:t>Informe sobre la brecha de emisiones 2024</w:t>
        </w:r>
      </w:hyperlink>
      <w:r w:rsidR="3F259AFE" w:rsidRPr="1EDE1A1B">
        <w:rPr>
          <w:rFonts w:ascii="Calibri" w:eastAsia="Calibri" w:hAnsi="Calibri" w:cs="Calibri"/>
          <w:sz w:val="20"/>
          <w:szCs w:val="20"/>
        </w:rPr>
        <w:t xml:space="preserve"> </w:t>
      </w:r>
      <w:r w:rsidRPr="1EDE1A1B">
        <w:rPr>
          <w:rFonts w:ascii="Calibri" w:eastAsia="Calibri" w:hAnsi="Calibri" w:cs="Calibri"/>
          <w:sz w:val="20"/>
          <w:szCs w:val="20"/>
        </w:rPr>
        <w:t xml:space="preserve">de la Organización de las Naciones Unidas (ONU), </w:t>
      </w:r>
      <w:r w:rsidR="49ABC9E4" w:rsidRPr="1EDE1A1B">
        <w:rPr>
          <w:rFonts w:ascii="Calibri" w:eastAsia="Calibri" w:hAnsi="Calibri" w:cs="Calibri"/>
          <w:sz w:val="20"/>
          <w:szCs w:val="20"/>
        </w:rPr>
        <w:t>l</w:t>
      </w:r>
      <w:r w:rsidRPr="1EDE1A1B">
        <w:rPr>
          <w:rFonts w:ascii="Calibri" w:eastAsia="Calibri" w:hAnsi="Calibri" w:cs="Calibri"/>
          <w:sz w:val="20"/>
          <w:szCs w:val="20"/>
        </w:rPr>
        <w:t xml:space="preserve">a nueva </w:t>
      </w:r>
      <w:r w:rsidR="66A41938" w:rsidRPr="1EDE1A1B">
        <w:rPr>
          <w:rFonts w:ascii="Calibri" w:eastAsia="Calibri" w:hAnsi="Calibri" w:cs="Calibri"/>
          <w:sz w:val="20"/>
          <w:szCs w:val="20"/>
        </w:rPr>
        <w:t xml:space="preserve">Contribución Determinada Nacional </w:t>
      </w:r>
      <w:r w:rsidR="4D2F7158" w:rsidRPr="1EDE1A1B">
        <w:rPr>
          <w:rFonts w:ascii="Calibri" w:eastAsia="Calibri" w:hAnsi="Calibri" w:cs="Calibri"/>
          <w:sz w:val="20"/>
          <w:szCs w:val="20"/>
        </w:rPr>
        <w:t xml:space="preserve">(NDC </w:t>
      </w:r>
      <w:r w:rsidR="66A41938" w:rsidRPr="1EDE1A1B">
        <w:rPr>
          <w:rFonts w:ascii="Calibri" w:eastAsia="Calibri" w:hAnsi="Calibri" w:cs="Calibri"/>
          <w:sz w:val="20"/>
          <w:szCs w:val="20"/>
        </w:rPr>
        <w:t>por sus siglas en inglés) su aplicación debe</w:t>
      </w:r>
      <w:r w:rsidRPr="1EDE1A1B">
        <w:rPr>
          <w:rFonts w:ascii="Calibri" w:eastAsia="Calibri" w:hAnsi="Calibri" w:cs="Calibri"/>
          <w:sz w:val="20"/>
          <w:szCs w:val="20"/>
        </w:rPr>
        <w:t xml:space="preserve"> reducir colectivamente el 42% de las emisiones de gases de efecto invernadero de aquí a 2030</w:t>
      </w:r>
      <w:r w:rsidR="186F2919" w:rsidRPr="1EDE1A1B">
        <w:rPr>
          <w:rFonts w:ascii="Calibri" w:eastAsia="Calibri" w:hAnsi="Calibri" w:cs="Calibri"/>
          <w:sz w:val="20"/>
          <w:szCs w:val="20"/>
        </w:rPr>
        <w:t>, además, para</w:t>
      </w:r>
      <w:r w:rsidRPr="1EDE1A1B">
        <w:rPr>
          <w:rFonts w:ascii="Calibri" w:eastAsia="Calibri" w:hAnsi="Calibri" w:cs="Calibri"/>
          <w:sz w:val="20"/>
          <w:szCs w:val="20"/>
        </w:rPr>
        <w:t xml:space="preserve"> 2035 las emisiones deben reducirse un 57%. </w:t>
      </w:r>
    </w:p>
    <w:p w14:paraId="406801DA" w14:textId="27A4A3AF" w:rsidR="2B45280F" w:rsidRDefault="088D8FE6" w:rsidP="60C4587D">
      <w:pPr>
        <w:jc w:val="both"/>
        <w:rPr>
          <w:rFonts w:ascii="Calibri" w:eastAsia="Calibri" w:hAnsi="Calibri" w:cs="Calibri"/>
          <w:sz w:val="20"/>
          <w:szCs w:val="20"/>
        </w:rPr>
      </w:pPr>
      <w:r w:rsidRPr="60C4587D">
        <w:rPr>
          <w:rFonts w:ascii="Calibri" w:eastAsia="Calibri" w:hAnsi="Calibri" w:cs="Calibri"/>
          <w:sz w:val="20"/>
          <w:szCs w:val="20"/>
        </w:rPr>
        <w:t>Ante este panorama, Armando Turrent compartió las tendencias inmobiliarias sostenibles que veremos en 2025. El CEO de</w:t>
      </w:r>
      <w:r w:rsidRPr="60C4587D">
        <w:rPr>
          <w:rFonts w:ascii="Calibri" w:eastAsia="Calibri" w:hAnsi="Calibri" w:cs="Calibri"/>
          <w:b/>
          <w:bCs/>
          <w:sz w:val="20"/>
          <w:szCs w:val="20"/>
        </w:rPr>
        <w:t xml:space="preserve"> Reserva Santa Fe</w:t>
      </w:r>
      <w:r w:rsidRPr="60C4587D">
        <w:rPr>
          <w:rFonts w:ascii="Calibri" w:eastAsia="Calibri" w:hAnsi="Calibri" w:cs="Calibri"/>
          <w:sz w:val="20"/>
          <w:szCs w:val="20"/>
        </w:rPr>
        <w:t xml:space="preserve">, desarrollo residencial de lujo ubicado a 15 minutos de Santa Fe, buscará certificarse con </w:t>
      </w:r>
      <w:proofErr w:type="gramStart"/>
      <w:r w:rsidRPr="60C4587D">
        <w:rPr>
          <w:rFonts w:ascii="Calibri" w:eastAsia="Calibri" w:hAnsi="Calibri" w:cs="Calibri"/>
          <w:sz w:val="20"/>
          <w:szCs w:val="20"/>
        </w:rPr>
        <w:t>Living</w:t>
      </w:r>
      <w:proofErr w:type="gramEnd"/>
      <w:r w:rsidRPr="60C4587D">
        <w:rPr>
          <w:rFonts w:ascii="Calibri" w:eastAsia="Calibri" w:hAnsi="Calibri" w:cs="Calibri"/>
          <w:sz w:val="20"/>
          <w:szCs w:val="20"/>
        </w:rPr>
        <w:t xml:space="preserve"> </w:t>
      </w:r>
      <w:proofErr w:type="spellStart"/>
      <w:r w:rsidRPr="60C4587D">
        <w:rPr>
          <w:rFonts w:ascii="Calibri" w:eastAsia="Calibri" w:hAnsi="Calibri" w:cs="Calibri"/>
          <w:sz w:val="20"/>
          <w:szCs w:val="20"/>
        </w:rPr>
        <w:t>Community</w:t>
      </w:r>
      <w:proofErr w:type="spellEnd"/>
      <w:r w:rsidRPr="60C4587D">
        <w:rPr>
          <w:rFonts w:ascii="Calibri" w:eastAsia="Calibri" w:hAnsi="Calibri" w:cs="Calibri"/>
          <w:sz w:val="20"/>
          <w:szCs w:val="20"/>
        </w:rPr>
        <w:t xml:space="preserve"> </w:t>
      </w:r>
      <w:proofErr w:type="spellStart"/>
      <w:r w:rsidRPr="60C4587D">
        <w:rPr>
          <w:rFonts w:ascii="Calibri" w:eastAsia="Calibri" w:hAnsi="Calibri" w:cs="Calibri"/>
          <w:sz w:val="20"/>
          <w:szCs w:val="20"/>
        </w:rPr>
        <w:t>Challenge</w:t>
      </w:r>
      <w:proofErr w:type="spellEnd"/>
      <w:r w:rsidRPr="60C4587D">
        <w:rPr>
          <w:rFonts w:ascii="Calibri" w:eastAsia="Calibri" w:hAnsi="Calibri" w:cs="Calibri"/>
          <w:sz w:val="20"/>
          <w:szCs w:val="20"/>
        </w:rPr>
        <w:t xml:space="preserve">, un distintivo que otorga el International Living Future </w:t>
      </w:r>
      <w:proofErr w:type="spellStart"/>
      <w:r w:rsidRPr="60C4587D">
        <w:rPr>
          <w:rFonts w:ascii="Calibri" w:eastAsia="Calibri" w:hAnsi="Calibri" w:cs="Calibri"/>
          <w:sz w:val="20"/>
          <w:szCs w:val="20"/>
        </w:rPr>
        <w:t>Institute</w:t>
      </w:r>
      <w:proofErr w:type="spellEnd"/>
      <w:r w:rsidRPr="60C4587D">
        <w:rPr>
          <w:rFonts w:ascii="Calibri" w:eastAsia="Calibri" w:hAnsi="Calibri" w:cs="Calibri"/>
          <w:sz w:val="20"/>
          <w:szCs w:val="20"/>
        </w:rPr>
        <w:t xml:space="preserve"> (ILFI) en el cual, los proyectos deben pasar por una rigurosa evaluación para ser considerados comunidades que aportan más de los recursos que se utilizan para su edificación.</w:t>
      </w:r>
    </w:p>
    <w:p w14:paraId="26091D07" w14:textId="2A0DA1EA" w:rsidR="3062A607" w:rsidRDefault="60102883"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Turrent señaló que</w:t>
      </w:r>
      <w:r w:rsidR="5A217AB1" w:rsidRPr="60C4587D">
        <w:rPr>
          <w:rFonts w:ascii="Calibri" w:eastAsia="Calibri" w:hAnsi="Calibri" w:cs="Calibri"/>
          <w:sz w:val="20"/>
          <w:szCs w:val="20"/>
        </w:rPr>
        <w:t xml:space="preserve"> estas tendencias no solo redefinirán la forma de construir, sino también cómo las personas viven y trabajan. </w:t>
      </w:r>
      <w:r w:rsidR="5A217AB1" w:rsidRPr="60C4587D">
        <w:rPr>
          <w:rFonts w:ascii="Calibri" w:eastAsia="Calibri" w:hAnsi="Calibri" w:cs="Calibri"/>
          <w:i/>
          <w:iCs/>
          <w:sz w:val="20"/>
          <w:szCs w:val="20"/>
        </w:rPr>
        <w:t>“El futuro del sector inmobiliario radica en proyectos que integren tecnología, sostenibilidad y resiliencia climática. Debemos construir pensando en las próximas generaciones</w:t>
      </w:r>
      <w:r w:rsidR="5A217AB1" w:rsidRPr="60C4587D">
        <w:rPr>
          <w:rFonts w:ascii="Calibri" w:eastAsia="Calibri" w:hAnsi="Calibri" w:cs="Calibri"/>
          <w:sz w:val="20"/>
          <w:szCs w:val="20"/>
        </w:rPr>
        <w:t>”, afirmó</w:t>
      </w:r>
      <w:r w:rsidR="06F5E97F" w:rsidRPr="60C4587D">
        <w:rPr>
          <w:rFonts w:ascii="Calibri" w:eastAsia="Calibri" w:hAnsi="Calibri" w:cs="Calibri"/>
          <w:sz w:val="20"/>
          <w:szCs w:val="20"/>
        </w:rPr>
        <w:t xml:space="preserve">. </w:t>
      </w:r>
    </w:p>
    <w:p w14:paraId="5CD83BAC" w14:textId="78C73202"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A continuación, las cinco tendencias principales que marcarán el sector inmobiliario en 2025:</w:t>
      </w:r>
    </w:p>
    <w:p w14:paraId="52E9EF5A" w14:textId="4FDEF17F" w:rsidR="3E00CFFD" w:rsidRDefault="5A217AB1" w:rsidP="60C4587D">
      <w:pPr>
        <w:pStyle w:val="Heading3"/>
        <w:spacing w:before="281" w:after="281"/>
        <w:jc w:val="both"/>
        <w:rPr>
          <w:rFonts w:ascii="Calibri" w:eastAsia="Calibri" w:hAnsi="Calibri" w:cs="Calibri"/>
          <w:b/>
          <w:bCs/>
          <w:color w:val="auto"/>
          <w:sz w:val="20"/>
          <w:szCs w:val="20"/>
        </w:rPr>
      </w:pPr>
      <w:r w:rsidRPr="60C4587D">
        <w:rPr>
          <w:rFonts w:ascii="Calibri" w:eastAsia="Calibri" w:hAnsi="Calibri" w:cs="Calibri"/>
          <w:b/>
          <w:bCs/>
          <w:color w:val="auto"/>
          <w:sz w:val="20"/>
          <w:szCs w:val="20"/>
        </w:rPr>
        <w:t>1. Construcción sostenible como eje central</w:t>
      </w:r>
    </w:p>
    <w:p w14:paraId="612901FE" w14:textId="7A849BB9"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La sostenibilidad sigue siendo una prioridad en la construcción. Materiales como concreto reciclado, madera certificada y bambú lideran las opciones ecológicas, reduciendo significativamente la huella de carbono de los proyectos. Además, estrategias como la economía circular buscan reutilizar materiales y minimizar residuos durante y después de la construcción.</w:t>
      </w:r>
    </w:p>
    <w:p w14:paraId="7FCEB968" w14:textId="6AEDCE2E"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w:t>
      </w:r>
      <w:r w:rsidRPr="60C4587D">
        <w:rPr>
          <w:rFonts w:ascii="Calibri" w:eastAsia="Calibri" w:hAnsi="Calibri" w:cs="Calibri"/>
          <w:i/>
          <w:iCs/>
          <w:sz w:val="20"/>
          <w:szCs w:val="20"/>
        </w:rPr>
        <w:t xml:space="preserve">Hoy en día, construir sin pensar en el impacto ambiental ya no es una opción. En </w:t>
      </w:r>
      <w:r w:rsidRPr="60C4587D">
        <w:rPr>
          <w:rFonts w:ascii="Calibri" w:eastAsia="Calibri" w:hAnsi="Calibri" w:cs="Calibri"/>
          <w:b/>
          <w:bCs/>
          <w:i/>
          <w:iCs/>
          <w:sz w:val="20"/>
          <w:szCs w:val="20"/>
        </w:rPr>
        <w:t>Reserva Santa Fe</w:t>
      </w:r>
      <w:r w:rsidRPr="60C4587D">
        <w:rPr>
          <w:rFonts w:ascii="Calibri" w:eastAsia="Calibri" w:hAnsi="Calibri" w:cs="Calibri"/>
          <w:i/>
          <w:iCs/>
          <w:sz w:val="20"/>
          <w:szCs w:val="20"/>
        </w:rPr>
        <w:t xml:space="preserve">, hemos adoptado </w:t>
      </w:r>
      <w:r w:rsidR="483026A6" w:rsidRPr="60C4587D">
        <w:rPr>
          <w:rFonts w:ascii="Calibri" w:eastAsia="Calibri" w:hAnsi="Calibri" w:cs="Calibri"/>
          <w:i/>
          <w:iCs/>
          <w:sz w:val="20"/>
          <w:szCs w:val="20"/>
        </w:rPr>
        <w:t xml:space="preserve">una lista de </w:t>
      </w:r>
      <w:r w:rsidRPr="60C4587D">
        <w:rPr>
          <w:rFonts w:ascii="Calibri" w:eastAsia="Calibri" w:hAnsi="Calibri" w:cs="Calibri"/>
          <w:i/>
          <w:iCs/>
          <w:sz w:val="20"/>
          <w:szCs w:val="20"/>
        </w:rPr>
        <w:t xml:space="preserve">materiales reciclados </w:t>
      </w:r>
      <w:r w:rsidR="192B8DB8" w:rsidRPr="60C4587D">
        <w:rPr>
          <w:rFonts w:ascii="Calibri" w:eastAsia="Calibri" w:hAnsi="Calibri" w:cs="Calibri"/>
          <w:i/>
          <w:iCs/>
          <w:sz w:val="20"/>
          <w:szCs w:val="20"/>
        </w:rPr>
        <w:t xml:space="preserve">y utilizamos únicamente los que están permitidos en la lista del International </w:t>
      </w:r>
      <w:proofErr w:type="gramStart"/>
      <w:r w:rsidR="192B8DB8" w:rsidRPr="60C4587D">
        <w:rPr>
          <w:rFonts w:ascii="Calibri" w:eastAsia="Calibri" w:hAnsi="Calibri" w:cs="Calibri"/>
          <w:i/>
          <w:iCs/>
          <w:sz w:val="20"/>
          <w:szCs w:val="20"/>
        </w:rPr>
        <w:t>Living</w:t>
      </w:r>
      <w:proofErr w:type="gramEnd"/>
      <w:r w:rsidR="192B8DB8" w:rsidRPr="60C4587D">
        <w:rPr>
          <w:rFonts w:ascii="Calibri" w:eastAsia="Calibri" w:hAnsi="Calibri" w:cs="Calibri"/>
          <w:i/>
          <w:iCs/>
          <w:sz w:val="20"/>
          <w:szCs w:val="20"/>
        </w:rPr>
        <w:t xml:space="preserve"> Future </w:t>
      </w:r>
      <w:proofErr w:type="spellStart"/>
      <w:r w:rsidR="192B8DB8" w:rsidRPr="60C4587D">
        <w:rPr>
          <w:rFonts w:ascii="Calibri" w:eastAsia="Calibri" w:hAnsi="Calibri" w:cs="Calibri"/>
          <w:i/>
          <w:iCs/>
          <w:sz w:val="20"/>
          <w:szCs w:val="20"/>
        </w:rPr>
        <w:t>Institute</w:t>
      </w:r>
      <w:proofErr w:type="spellEnd"/>
      <w:r w:rsidR="192B8DB8" w:rsidRPr="60C4587D">
        <w:rPr>
          <w:rFonts w:ascii="Calibri" w:eastAsia="Calibri" w:hAnsi="Calibri" w:cs="Calibri"/>
          <w:i/>
          <w:iCs/>
          <w:sz w:val="20"/>
          <w:szCs w:val="20"/>
        </w:rPr>
        <w:t xml:space="preserve"> (ILFI). Además, el uso de</w:t>
      </w:r>
      <w:r w:rsidRPr="60C4587D">
        <w:rPr>
          <w:rFonts w:ascii="Calibri" w:eastAsia="Calibri" w:hAnsi="Calibri" w:cs="Calibri"/>
          <w:i/>
          <w:iCs/>
          <w:sz w:val="20"/>
          <w:szCs w:val="20"/>
        </w:rPr>
        <w:t xml:space="preserve"> tecnologías de energía renovable como pilares fundamentales de nuestros desarrollos</w:t>
      </w:r>
      <w:r w:rsidRPr="60C4587D">
        <w:rPr>
          <w:rFonts w:ascii="Calibri" w:eastAsia="Calibri" w:hAnsi="Calibri" w:cs="Calibri"/>
          <w:sz w:val="20"/>
          <w:szCs w:val="20"/>
        </w:rPr>
        <w:t>”, comentó Turrent</w:t>
      </w:r>
      <w:r w:rsidR="17800E58" w:rsidRPr="60C4587D">
        <w:rPr>
          <w:rFonts w:ascii="Calibri" w:eastAsia="Calibri" w:hAnsi="Calibri" w:cs="Calibri"/>
          <w:sz w:val="20"/>
          <w:szCs w:val="20"/>
        </w:rPr>
        <w:t xml:space="preserve"> y </w:t>
      </w:r>
      <w:r w:rsidR="158F10C1" w:rsidRPr="60C4587D">
        <w:rPr>
          <w:rFonts w:ascii="Calibri" w:eastAsia="Calibri" w:hAnsi="Calibri" w:cs="Calibri"/>
          <w:sz w:val="20"/>
          <w:szCs w:val="20"/>
        </w:rPr>
        <w:t xml:space="preserve">agregó </w:t>
      </w:r>
      <w:r w:rsidR="6416A924" w:rsidRPr="60C4587D">
        <w:rPr>
          <w:rFonts w:ascii="Calibri" w:eastAsia="Calibri" w:hAnsi="Calibri" w:cs="Calibri"/>
          <w:sz w:val="20"/>
          <w:szCs w:val="20"/>
        </w:rPr>
        <w:t>que,</w:t>
      </w:r>
      <w:r w:rsidR="41AE4C86" w:rsidRPr="60C4587D">
        <w:rPr>
          <w:rFonts w:ascii="Calibri" w:eastAsia="Calibri" w:hAnsi="Calibri" w:cs="Calibri"/>
          <w:sz w:val="20"/>
          <w:szCs w:val="20"/>
        </w:rPr>
        <w:t xml:space="preserve"> </w:t>
      </w:r>
      <w:r w:rsidR="158F10C1" w:rsidRPr="60C4587D">
        <w:rPr>
          <w:rFonts w:ascii="Calibri" w:eastAsia="Calibri" w:hAnsi="Calibri" w:cs="Calibri"/>
          <w:sz w:val="20"/>
          <w:szCs w:val="20"/>
        </w:rPr>
        <w:t>e</w:t>
      </w:r>
      <w:r w:rsidRPr="60C4587D">
        <w:rPr>
          <w:rFonts w:ascii="Calibri" w:eastAsia="Calibri" w:hAnsi="Calibri" w:cs="Calibri"/>
          <w:sz w:val="20"/>
          <w:szCs w:val="20"/>
        </w:rPr>
        <w:t xml:space="preserve">n México, estas prácticas ya están </w:t>
      </w:r>
      <w:r w:rsidRPr="60C4587D">
        <w:rPr>
          <w:rFonts w:ascii="Calibri" w:eastAsia="Calibri" w:hAnsi="Calibri" w:cs="Calibri"/>
          <w:sz w:val="20"/>
          <w:szCs w:val="20"/>
        </w:rPr>
        <w:lastRenderedPageBreak/>
        <w:t>siendo implementadas en mercados premium, incentivadas por políticas gubernamentales y una creciente conciencia social sobre el cambio climático.</w:t>
      </w:r>
    </w:p>
    <w:p w14:paraId="3591BC55" w14:textId="051F7585" w:rsidR="3E00CFFD" w:rsidRDefault="5A217AB1" w:rsidP="60C4587D">
      <w:pPr>
        <w:pStyle w:val="Heading3"/>
        <w:jc w:val="both"/>
        <w:rPr>
          <w:rFonts w:ascii="Calibri" w:eastAsia="Calibri" w:hAnsi="Calibri" w:cs="Calibri"/>
          <w:b/>
          <w:bCs/>
          <w:color w:val="auto"/>
          <w:sz w:val="20"/>
          <w:szCs w:val="20"/>
        </w:rPr>
      </w:pPr>
      <w:r w:rsidRPr="60C4587D">
        <w:rPr>
          <w:rFonts w:ascii="Calibri" w:eastAsia="Calibri" w:hAnsi="Calibri" w:cs="Calibri"/>
          <w:b/>
          <w:bCs/>
          <w:color w:val="auto"/>
          <w:sz w:val="20"/>
          <w:szCs w:val="20"/>
        </w:rPr>
        <w:t>2. Tecnología integrada: Edificios inteligentes y BIM</w:t>
      </w:r>
    </w:p>
    <w:p w14:paraId="54CDE524" w14:textId="1FA6212C"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 xml:space="preserve">La digitalización ha llegado para quedarse en el sector inmobiliario. Herramientas como el </w:t>
      </w:r>
      <w:proofErr w:type="spellStart"/>
      <w:r w:rsidRPr="60C4587D">
        <w:rPr>
          <w:rFonts w:ascii="Calibri" w:eastAsia="Calibri" w:hAnsi="Calibri" w:cs="Calibri"/>
          <w:sz w:val="20"/>
          <w:szCs w:val="20"/>
        </w:rPr>
        <w:t>Building</w:t>
      </w:r>
      <w:proofErr w:type="spellEnd"/>
      <w:r w:rsidRPr="60C4587D">
        <w:rPr>
          <w:rFonts w:ascii="Calibri" w:eastAsia="Calibri" w:hAnsi="Calibri" w:cs="Calibri"/>
          <w:sz w:val="20"/>
          <w:szCs w:val="20"/>
        </w:rPr>
        <w:t xml:space="preserve"> </w:t>
      </w:r>
      <w:proofErr w:type="spellStart"/>
      <w:r w:rsidRPr="60C4587D">
        <w:rPr>
          <w:rFonts w:ascii="Calibri" w:eastAsia="Calibri" w:hAnsi="Calibri" w:cs="Calibri"/>
          <w:sz w:val="20"/>
          <w:szCs w:val="20"/>
        </w:rPr>
        <w:t>Information</w:t>
      </w:r>
      <w:proofErr w:type="spellEnd"/>
      <w:r w:rsidRPr="60C4587D">
        <w:rPr>
          <w:rFonts w:ascii="Calibri" w:eastAsia="Calibri" w:hAnsi="Calibri" w:cs="Calibri"/>
          <w:sz w:val="20"/>
          <w:szCs w:val="20"/>
        </w:rPr>
        <w:t xml:space="preserve"> </w:t>
      </w:r>
      <w:proofErr w:type="spellStart"/>
      <w:r w:rsidRPr="60C4587D">
        <w:rPr>
          <w:rFonts w:ascii="Calibri" w:eastAsia="Calibri" w:hAnsi="Calibri" w:cs="Calibri"/>
          <w:sz w:val="20"/>
          <w:szCs w:val="20"/>
        </w:rPr>
        <w:t>Modeling</w:t>
      </w:r>
      <w:proofErr w:type="spellEnd"/>
      <w:r w:rsidRPr="60C4587D">
        <w:rPr>
          <w:rFonts w:ascii="Calibri" w:eastAsia="Calibri" w:hAnsi="Calibri" w:cs="Calibri"/>
          <w:sz w:val="20"/>
          <w:szCs w:val="20"/>
        </w:rPr>
        <w:t xml:space="preserve"> (BIM) permiten planificar proyectos con mayor precisión, optimizando recursos desde la etapa de diseño hasta su operación. Además, los edificios inteligentes equipados con sensores y sistemas </w:t>
      </w:r>
      <w:proofErr w:type="spellStart"/>
      <w:r w:rsidRPr="60C4587D">
        <w:rPr>
          <w:rFonts w:ascii="Calibri" w:eastAsia="Calibri" w:hAnsi="Calibri" w:cs="Calibri"/>
          <w:sz w:val="20"/>
          <w:szCs w:val="20"/>
        </w:rPr>
        <w:t>IoT</w:t>
      </w:r>
      <w:proofErr w:type="spellEnd"/>
      <w:r w:rsidRPr="60C4587D">
        <w:rPr>
          <w:rFonts w:ascii="Calibri" w:eastAsia="Calibri" w:hAnsi="Calibri" w:cs="Calibri"/>
          <w:sz w:val="20"/>
          <w:szCs w:val="20"/>
        </w:rPr>
        <w:t xml:space="preserve"> (Internet </w:t>
      </w:r>
      <w:proofErr w:type="spellStart"/>
      <w:r w:rsidRPr="60C4587D">
        <w:rPr>
          <w:rFonts w:ascii="Calibri" w:eastAsia="Calibri" w:hAnsi="Calibri" w:cs="Calibri"/>
          <w:sz w:val="20"/>
          <w:szCs w:val="20"/>
        </w:rPr>
        <w:t>of</w:t>
      </w:r>
      <w:proofErr w:type="spellEnd"/>
      <w:r w:rsidRPr="60C4587D">
        <w:rPr>
          <w:rFonts w:ascii="Calibri" w:eastAsia="Calibri" w:hAnsi="Calibri" w:cs="Calibri"/>
          <w:sz w:val="20"/>
          <w:szCs w:val="20"/>
        </w:rPr>
        <w:t xml:space="preserve"> </w:t>
      </w:r>
      <w:proofErr w:type="spellStart"/>
      <w:r w:rsidRPr="60C4587D">
        <w:rPr>
          <w:rFonts w:ascii="Calibri" w:eastAsia="Calibri" w:hAnsi="Calibri" w:cs="Calibri"/>
          <w:sz w:val="20"/>
          <w:szCs w:val="20"/>
        </w:rPr>
        <w:t>Things</w:t>
      </w:r>
      <w:proofErr w:type="spellEnd"/>
      <w:r w:rsidRPr="60C4587D">
        <w:rPr>
          <w:rFonts w:ascii="Calibri" w:eastAsia="Calibri" w:hAnsi="Calibri" w:cs="Calibri"/>
          <w:sz w:val="20"/>
          <w:szCs w:val="20"/>
        </w:rPr>
        <w:t>) gestionan eficientemente el consumo de agua, energía y otros recursos.</w:t>
      </w:r>
    </w:p>
    <w:p w14:paraId="20C03042" w14:textId="4ECAC160"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w:t>
      </w:r>
      <w:r w:rsidRPr="60C4587D">
        <w:rPr>
          <w:rFonts w:ascii="Calibri" w:eastAsia="Calibri" w:hAnsi="Calibri" w:cs="Calibri"/>
          <w:i/>
          <w:iCs/>
          <w:sz w:val="20"/>
          <w:szCs w:val="20"/>
        </w:rPr>
        <w:t xml:space="preserve">Gracias a tecnologías como BIM, </w:t>
      </w:r>
      <w:r w:rsidR="49D119C3" w:rsidRPr="60C4587D">
        <w:rPr>
          <w:rFonts w:ascii="Calibri" w:eastAsia="Calibri" w:hAnsi="Calibri" w:cs="Calibri"/>
          <w:i/>
          <w:iCs/>
          <w:sz w:val="20"/>
          <w:szCs w:val="20"/>
        </w:rPr>
        <w:t xml:space="preserve">se </w:t>
      </w:r>
      <w:r w:rsidRPr="60C4587D">
        <w:rPr>
          <w:rFonts w:ascii="Calibri" w:eastAsia="Calibri" w:hAnsi="Calibri" w:cs="Calibri"/>
          <w:i/>
          <w:iCs/>
          <w:sz w:val="20"/>
          <w:szCs w:val="20"/>
        </w:rPr>
        <w:t xml:space="preserve">logran proyectos más eficientes y sostenibles. Esto </w:t>
      </w:r>
      <w:r w:rsidR="114FE30D" w:rsidRPr="60C4587D">
        <w:rPr>
          <w:rFonts w:ascii="Calibri" w:eastAsia="Calibri" w:hAnsi="Calibri" w:cs="Calibri"/>
          <w:i/>
          <w:iCs/>
          <w:sz w:val="20"/>
          <w:szCs w:val="20"/>
        </w:rPr>
        <w:t xml:space="preserve">te </w:t>
      </w:r>
      <w:r w:rsidRPr="60C4587D">
        <w:rPr>
          <w:rFonts w:ascii="Calibri" w:eastAsia="Calibri" w:hAnsi="Calibri" w:cs="Calibri"/>
          <w:i/>
          <w:iCs/>
          <w:sz w:val="20"/>
          <w:szCs w:val="20"/>
        </w:rPr>
        <w:t>permite visualizar cómo cada decisión afecta al entorno y al presupuesto, generando beneficios para desarrolladores y residentes</w:t>
      </w:r>
      <w:r w:rsidRPr="60C4587D">
        <w:rPr>
          <w:rFonts w:ascii="Calibri" w:eastAsia="Calibri" w:hAnsi="Calibri" w:cs="Calibri"/>
          <w:sz w:val="20"/>
          <w:szCs w:val="20"/>
        </w:rPr>
        <w:t>”, explicó Turrent.</w:t>
      </w:r>
    </w:p>
    <w:p w14:paraId="64E7A55D" w14:textId="288E2056" w:rsidR="2A986031" w:rsidRDefault="658958D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 xml:space="preserve">En ese sentido, </w:t>
      </w:r>
      <w:r w:rsidRPr="60C4587D">
        <w:rPr>
          <w:rFonts w:ascii="Calibri" w:eastAsia="Calibri" w:hAnsi="Calibri" w:cs="Calibri"/>
          <w:b/>
          <w:bCs/>
          <w:sz w:val="20"/>
          <w:szCs w:val="20"/>
        </w:rPr>
        <w:t>Reserva Santa Fe</w:t>
      </w:r>
      <w:r w:rsidRPr="60C4587D">
        <w:rPr>
          <w:rFonts w:ascii="Calibri" w:eastAsia="Calibri" w:hAnsi="Calibri" w:cs="Calibri"/>
          <w:sz w:val="20"/>
          <w:szCs w:val="20"/>
        </w:rPr>
        <w:t xml:space="preserve"> reafirma su compromiso con la sostenibilidad mediante la instalación de 60 paneles solares de alta eficiencia, reduciendo la dependencia de combustibles fósiles y las emisiones de carbono. Además, su equipo utiliza una calculadora avanzada de emisiones para medir y analizar cada etapa del proceso, desde la construcción hasta la administración. Esta herramienta permite realizar ajustes mensuales para optimizar operaciones y avanzar hacia la meta de ser un desarrollo</w:t>
      </w:r>
      <w:r w:rsidR="408A50A8" w:rsidRPr="60C4587D">
        <w:rPr>
          <w:rFonts w:ascii="Calibri" w:eastAsia="Calibri" w:hAnsi="Calibri" w:cs="Calibri"/>
          <w:sz w:val="20"/>
          <w:szCs w:val="20"/>
        </w:rPr>
        <w:t xml:space="preserve"> de cero emisiones</w:t>
      </w:r>
      <w:r w:rsidRPr="60C4587D">
        <w:rPr>
          <w:rFonts w:ascii="Calibri" w:eastAsia="Calibri" w:hAnsi="Calibri" w:cs="Calibri"/>
          <w:sz w:val="20"/>
          <w:szCs w:val="20"/>
        </w:rPr>
        <w:t>.</w:t>
      </w:r>
    </w:p>
    <w:p w14:paraId="29B9D984" w14:textId="1BACEA6E" w:rsidR="2A986031" w:rsidRDefault="658958D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 xml:space="preserve">El proyecto también emplea un software innovador que modela la eficiencia energética de sus edificaciones, logrando que los edificios de </w:t>
      </w:r>
      <w:r w:rsidRPr="60C4587D">
        <w:rPr>
          <w:rFonts w:ascii="Calibri" w:eastAsia="Calibri" w:hAnsi="Calibri" w:cs="Calibri"/>
          <w:b/>
          <w:bCs/>
          <w:sz w:val="20"/>
          <w:szCs w:val="20"/>
        </w:rPr>
        <w:t>Reserva Santa Fe</w:t>
      </w:r>
      <w:r w:rsidRPr="60C4587D">
        <w:rPr>
          <w:rFonts w:ascii="Calibri" w:eastAsia="Calibri" w:hAnsi="Calibri" w:cs="Calibri"/>
          <w:sz w:val="20"/>
          <w:szCs w:val="20"/>
        </w:rPr>
        <w:t xml:space="preserve"> sean un 70% más eficientes en el consumo de energía en comparación con otras construcciones similares. Estas acciones consolidan a </w:t>
      </w:r>
      <w:r w:rsidRPr="60C4587D">
        <w:rPr>
          <w:rFonts w:ascii="Calibri" w:eastAsia="Calibri" w:hAnsi="Calibri" w:cs="Calibri"/>
          <w:b/>
          <w:bCs/>
          <w:sz w:val="20"/>
          <w:szCs w:val="20"/>
        </w:rPr>
        <w:t>Reserva Santa Fe</w:t>
      </w:r>
      <w:r w:rsidRPr="60C4587D">
        <w:rPr>
          <w:rFonts w:ascii="Calibri" w:eastAsia="Calibri" w:hAnsi="Calibri" w:cs="Calibri"/>
          <w:sz w:val="20"/>
          <w:szCs w:val="20"/>
        </w:rPr>
        <w:t xml:space="preserve"> como un referente en arquitectura sostenible y gestión responsable de recursos.</w:t>
      </w:r>
    </w:p>
    <w:p w14:paraId="54B8D969" w14:textId="3E9064F3" w:rsidR="3E00CFFD" w:rsidRDefault="5A217AB1" w:rsidP="60C4587D">
      <w:pPr>
        <w:spacing w:before="240" w:after="240"/>
        <w:jc w:val="both"/>
        <w:rPr>
          <w:rFonts w:ascii="Calibri" w:eastAsia="Calibri" w:hAnsi="Calibri" w:cs="Calibri"/>
          <w:b/>
          <w:bCs/>
          <w:sz w:val="20"/>
          <w:szCs w:val="20"/>
        </w:rPr>
      </w:pPr>
      <w:r w:rsidRPr="60C4587D">
        <w:rPr>
          <w:rFonts w:ascii="Calibri" w:eastAsia="Calibri" w:hAnsi="Calibri" w:cs="Calibri"/>
          <w:b/>
          <w:bCs/>
          <w:sz w:val="20"/>
          <w:szCs w:val="20"/>
        </w:rPr>
        <w:t>3. Flexibilidad y modularidad en los espacios</w:t>
      </w:r>
    </w:p>
    <w:p w14:paraId="7283796D" w14:textId="319D0D62"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La pandemia transformó las dinámicas de vida y trabajo, generando una alta demanda de espacios multifuncionales. La arquitectura modular, basada en componentes prefabricados, se posiciona como una solución práctica y sostenible al reducir costos, tiempos de construcción y desperdicios.</w:t>
      </w:r>
    </w:p>
    <w:p w14:paraId="16D04F66" w14:textId="1E377460" w:rsidR="3E00CFFD" w:rsidRDefault="5A217AB1" w:rsidP="60C4587D">
      <w:pPr>
        <w:spacing w:before="240" w:after="240"/>
        <w:jc w:val="both"/>
        <w:rPr>
          <w:rFonts w:ascii="Calibri" w:eastAsia="Calibri" w:hAnsi="Calibri" w:cs="Calibri"/>
          <w:b/>
          <w:bCs/>
          <w:sz w:val="20"/>
          <w:szCs w:val="20"/>
        </w:rPr>
      </w:pPr>
      <w:r w:rsidRPr="60C4587D">
        <w:rPr>
          <w:rFonts w:ascii="Calibri" w:eastAsia="Calibri" w:hAnsi="Calibri" w:cs="Calibri"/>
          <w:sz w:val="20"/>
          <w:szCs w:val="20"/>
        </w:rPr>
        <w:t>“</w:t>
      </w:r>
      <w:r w:rsidRPr="60C4587D">
        <w:rPr>
          <w:rFonts w:ascii="Calibri" w:eastAsia="Calibri" w:hAnsi="Calibri" w:cs="Calibri"/>
          <w:i/>
          <w:iCs/>
          <w:sz w:val="20"/>
          <w:szCs w:val="20"/>
        </w:rPr>
        <w:t xml:space="preserve">La flexibilidad es clave. </w:t>
      </w:r>
      <w:r w:rsidR="32E66DD4" w:rsidRPr="60C4587D">
        <w:rPr>
          <w:rFonts w:ascii="Calibri" w:eastAsia="Calibri" w:hAnsi="Calibri" w:cs="Calibri"/>
          <w:i/>
          <w:iCs/>
          <w:sz w:val="20"/>
          <w:szCs w:val="20"/>
        </w:rPr>
        <w:t xml:space="preserve">Los </w:t>
      </w:r>
      <w:r w:rsidRPr="60C4587D">
        <w:rPr>
          <w:rFonts w:ascii="Calibri" w:eastAsia="Calibri" w:hAnsi="Calibri" w:cs="Calibri"/>
          <w:i/>
          <w:iCs/>
          <w:sz w:val="20"/>
          <w:szCs w:val="20"/>
        </w:rPr>
        <w:t xml:space="preserve">diseños </w:t>
      </w:r>
      <w:r w:rsidR="4EA8323D" w:rsidRPr="60C4587D">
        <w:rPr>
          <w:rFonts w:ascii="Calibri" w:eastAsia="Calibri" w:hAnsi="Calibri" w:cs="Calibri"/>
          <w:i/>
          <w:iCs/>
          <w:sz w:val="20"/>
          <w:szCs w:val="20"/>
        </w:rPr>
        <w:t xml:space="preserve">flexibles </w:t>
      </w:r>
      <w:r w:rsidRPr="60C4587D">
        <w:rPr>
          <w:rFonts w:ascii="Calibri" w:eastAsia="Calibri" w:hAnsi="Calibri" w:cs="Calibri"/>
          <w:i/>
          <w:iCs/>
          <w:sz w:val="20"/>
          <w:szCs w:val="20"/>
        </w:rPr>
        <w:t xml:space="preserve">permiten que los espacios evolucionen con las necesidades de los usuarios, desde oficinas en </w:t>
      </w:r>
      <w:r w:rsidR="7FFE8E62" w:rsidRPr="60C4587D">
        <w:rPr>
          <w:rFonts w:ascii="Calibri" w:eastAsia="Calibri" w:hAnsi="Calibri" w:cs="Calibri"/>
          <w:i/>
          <w:iCs/>
          <w:sz w:val="20"/>
          <w:szCs w:val="20"/>
        </w:rPr>
        <w:t>casa, hasta</w:t>
      </w:r>
      <w:r w:rsidRPr="60C4587D">
        <w:rPr>
          <w:rFonts w:ascii="Calibri" w:eastAsia="Calibri" w:hAnsi="Calibri" w:cs="Calibri"/>
          <w:i/>
          <w:iCs/>
          <w:sz w:val="20"/>
          <w:szCs w:val="20"/>
        </w:rPr>
        <w:t xml:space="preserve"> áreas recreativas. </w:t>
      </w:r>
      <w:proofErr w:type="gramStart"/>
      <w:r w:rsidR="3904E7CA" w:rsidRPr="60C4587D">
        <w:rPr>
          <w:rFonts w:ascii="Calibri" w:eastAsia="Calibri" w:hAnsi="Calibri" w:cs="Calibri"/>
          <w:i/>
          <w:iCs/>
          <w:sz w:val="20"/>
          <w:szCs w:val="20"/>
        </w:rPr>
        <w:t>La</w:t>
      </w:r>
      <w:r w:rsidR="06192FAF" w:rsidRPr="60C4587D">
        <w:rPr>
          <w:rFonts w:ascii="Calibri" w:eastAsia="Calibri" w:hAnsi="Calibri" w:cs="Calibri"/>
          <w:i/>
          <w:iCs/>
          <w:sz w:val="20"/>
          <w:szCs w:val="20"/>
        </w:rPr>
        <w:t xml:space="preserve"> modularidad</w:t>
      </w:r>
      <w:proofErr w:type="gramEnd"/>
      <w:r w:rsidRPr="60C4587D">
        <w:rPr>
          <w:rFonts w:ascii="Calibri" w:eastAsia="Calibri" w:hAnsi="Calibri" w:cs="Calibri"/>
          <w:i/>
          <w:iCs/>
          <w:sz w:val="20"/>
          <w:szCs w:val="20"/>
        </w:rPr>
        <w:t xml:space="preserve"> no solo ahorra recursos, sino que también responde rápidamente a los cambios del mercado</w:t>
      </w:r>
      <w:r w:rsidRPr="60C4587D">
        <w:rPr>
          <w:rFonts w:ascii="Calibri" w:eastAsia="Calibri" w:hAnsi="Calibri" w:cs="Calibri"/>
          <w:sz w:val="20"/>
          <w:szCs w:val="20"/>
        </w:rPr>
        <w:t>”, detalló Turrent.</w:t>
      </w:r>
    </w:p>
    <w:p w14:paraId="4D0E4B0A" w14:textId="38EC69B5" w:rsidR="3E00CFFD" w:rsidRDefault="5A217AB1" w:rsidP="60C4587D">
      <w:pPr>
        <w:spacing w:before="240" w:after="240"/>
        <w:jc w:val="both"/>
        <w:rPr>
          <w:rFonts w:ascii="Calibri" w:eastAsia="Calibri" w:hAnsi="Calibri" w:cs="Calibri"/>
          <w:b/>
          <w:bCs/>
          <w:sz w:val="20"/>
          <w:szCs w:val="20"/>
        </w:rPr>
      </w:pPr>
      <w:r w:rsidRPr="60C4587D">
        <w:rPr>
          <w:rFonts w:ascii="Calibri" w:eastAsia="Calibri" w:hAnsi="Calibri" w:cs="Calibri"/>
          <w:b/>
          <w:bCs/>
          <w:sz w:val="20"/>
          <w:szCs w:val="20"/>
        </w:rPr>
        <w:t>4. Resiliencia climática: Preparados para el futuro</w:t>
      </w:r>
    </w:p>
    <w:p w14:paraId="51B69D53" w14:textId="0DF8F2F6"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El cambio climático plantea desafíos significativos para la industria inmobiliaria. Proyectos diseñados para enfrentar desastres naturales están incorporando sistemas de drenaje avanzado, materiales resistentes a condiciones extremas y diseños que minimizan riesgos.</w:t>
      </w:r>
    </w:p>
    <w:p w14:paraId="19CFA89E" w14:textId="5556F4C6" w:rsidR="3E00CFFD" w:rsidRDefault="5A217AB1" w:rsidP="60C4587D">
      <w:pPr>
        <w:spacing w:before="240" w:after="240"/>
        <w:jc w:val="both"/>
        <w:rPr>
          <w:rFonts w:ascii="Calibri" w:eastAsia="Calibri" w:hAnsi="Calibri" w:cs="Calibri"/>
          <w:b/>
          <w:bCs/>
          <w:sz w:val="20"/>
          <w:szCs w:val="20"/>
        </w:rPr>
      </w:pPr>
      <w:r w:rsidRPr="60C4587D">
        <w:rPr>
          <w:rFonts w:ascii="Calibri" w:eastAsia="Calibri" w:hAnsi="Calibri" w:cs="Calibri"/>
          <w:sz w:val="20"/>
          <w:szCs w:val="20"/>
        </w:rPr>
        <w:lastRenderedPageBreak/>
        <w:t>“</w:t>
      </w:r>
      <w:r w:rsidRPr="60C4587D">
        <w:rPr>
          <w:rFonts w:ascii="Calibri" w:eastAsia="Calibri" w:hAnsi="Calibri" w:cs="Calibri"/>
          <w:i/>
          <w:iCs/>
          <w:sz w:val="20"/>
          <w:szCs w:val="20"/>
        </w:rPr>
        <w:t>En un país como México, donde somos vulnerables a huracanes y terremotos, la resiliencia climática debe ser parte integral de cada proyecto. Esto no solo protege las inversiones, sino también la seguridad y bienestar de las comunidades</w:t>
      </w:r>
      <w:r w:rsidRPr="60C4587D">
        <w:rPr>
          <w:rFonts w:ascii="Calibri" w:eastAsia="Calibri" w:hAnsi="Calibri" w:cs="Calibri"/>
          <w:sz w:val="20"/>
          <w:szCs w:val="20"/>
        </w:rPr>
        <w:t>”, enfatizó Turrent.</w:t>
      </w:r>
    </w:p>
    <w:p w14:paraId="46B117DF" w14:textId="2FD58BD9" w:rsidR="3E00CFFD" w:rsidRDefault="5A217AB1" w:rsidP="60C4587D">
      <w:pPr>
        <w:spacing w:before="240" w:after="240"/>
        <w:jc w:val="both"/>
        <w:rPr>
          <w:rFonts w:ascii="Calibri" w:eastAsia="Calibri" w:hAnsi="Calibri" w:cs="Calibri"/>
          <w:b/>
          <w:bCs/>
          <w:sz w:val="20"/>
          <w:szCs w:val="20"/>
        </w:rPr>
      </w:pPr>
      <w:r w:rsidRPr="60C4587D">
        <w:rPr>
          <w:rFonts w:ascii="Calibri" w:eastAsia="Calibri" w:hAnsi="Calibri" w:cs="Calibri"/>
          <w:b/>
          <w:bCs/>
          <w:sz w:val="20"/>
          <w:szCs w:val="20"/>
        </w:rPr>
        <w:t>5. Diseño biofílico y bienestar humano</w:t>
      </w:r>
    </w:p>
    <w:p w14:paraId="316F7BDA" w14:textId="1EC20B8D"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La conexión con la naturaleza es una prioridad en el diseño contemporáneo. Incorporar elementos como patios interiores, jardines verticales y grandes áreas abiertas mejora la salud física y mental de los residentes.</w:t>
      </w:r>
    </w:p>
    <w:p w14:paraId="75D7CAE4" w14:textId="05C991F8"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i/>
          <w:iCs/>
          <w:sz w:val="20"/>
          <w:szCs w:val="20"/>
        </w:rPr>
        <w:t xml:space="preserve">“El diseño biofílico no solo es una tendencia, es una necesidad. En </w:t>
      </w:r>
      <w:r w:rsidRPr="60C4587D">
        <w:rPr>
          <w:rFonts w:ascii="Calibri" w:eastAsia="Calibri" w:hAnsi="Calibri" w:cs="Calibri"/>
          <w:b/>
          <w:bCs/>
          <w:i/>
          <w:iCs/>
          <w:sz w:val="20"/>
          <w:szCs w:val="20"/>
        </w:rPr>
        <w:t>Reserva Santa Fe</w:t>
      </w:r>
      <w:r w:rsidRPr="60C4587D">
        <w:rPr>
          <w:rFonts w:ascii="Calibri" w:eastAsia="Calibri" w:hAnsi="Calibri" w:cs="Calibri"/>
          <w:i/>
          <w:iCs/>
          <w:sz w:val="20"/>
          <w:szCs w:val="20"/>
        </w:rPr>
        <w:t>, integramos áreas verdes y vistas naturales para ofrecer un estilo de vida equilibrado y saludable</w:t>
      </w:r>
      <w:r w:rsidRPr="60C4587D">
        <w:rPr>
          <w:rFonts w:ascii="Calibri" w:eastAsia="Calibri" w:hAnsi="Calibri" w:cs="Calibri"/>
          <w:sz w:val="20"/>
          <w:szCs w:val="20"/>
        </w:rPr>
        <w:t xml:space="preserve">”, comentó Turrent. Esta tendencia está ganando popularidad en México, especialmente en desarrollos turísticos y residenciales de lujo, </w:t>
      </w:r>
      <w:r w:rsidR="4887A376" w:rsidRPr="60C4587D">
        <w:rPr>
          <w:rFonts w:ascii="Calibri" w:eastAsia="Calibri" w:hAnsi="Calibri" w:cs="Calibri"/>
          <w:sz w:val="20"/>
          <w:szCs w:val="20"/>
        </w:rPr>
        <w:t xml:space="preserve">en </w:t>
      </w:r>
      <w:r w:rsidRPr="60C4587D">
        <w:rPr>
          <w:rFonts w:ascii="Calibri" w:eastAsia="Calibri" w:hAnsi="Calibri" w:cs="Calibri"/>
          <w:sz w:val="20"/>
          <w:szCs w:val="20"/>
        </w:rPr>
        <w:t>donde la demanda de espacios verdes y luz natural sigue en aumento.</w:t>
      </w:r>
    </w:p>
    <w:p w14:paraId="282C4924" w14:textId="5FC25DFF" w:rsidR="3E00CFFD" w:rsidRDefault="5A217AB1" w:rsidP="60C4587D">
      <w:pPr>
        <w:jc w:val="both"/>
        <w:rPr>
          <w:rFonts w:ascii="Calibri" w:eastAsia="Calibri" w:hAnsi="Calibri" w:cs="Calibri"/>
          <w:b/>
          <w:bCs/>
          <w:sz w:val="20"/>
          <w:szCs w:val="20"/>
        </w:rPr>
      </w:pPr>
      <w:r w:rsidRPr="60C4587D">
        <w:rPr>
          <w:rFonts w:ascii="Calibri" w:eastAsia="Calibri" w:hAnsi="Calibri" w:cs="Calibri"/>
          <w:b/>
          <w:bCs/>
          <w:sz w:val="20"/>
          <w:szCs w:val="20"/>
        </w:rPr>
        <w:t>Un futuro</w:t>
      </w:r>
      <w:r w:rsidR="0346FD65" w:rsidRPr="60C4587D">
        <w:rPr>
          <w:rFonts w:ascii="Calibri" w:eastAsia="Calibri" w:hAnsi="Calibri" w:cs="Calibri"/>
          <w:b/>
          <w:bCs/>
          <w:sz w:val="20"/>
          <w:szCs w:val="20"/>
        </w:rPr>
        <w:t xml:space="preserve"> </w:t>
      </w:r>
      <w:r w:rsidRPr="60C4587D">
        <w:rPr>
          <w:rFonts w:ascii="Calibri" w:eastAsia="Calibri" w:hAnsi="Calibri" w:cs="Calibri"/>
          <w:b/>
          <w:bCs/>
          <w:sz w:val="20"/>
          <w:szCs w:val="20"/>
        </w:rPr>
        <w:t>consciente</w:t>
      </w:r>
    </w:p>
    <w:p w14:paraId="455E354F" w14:textId="41EFD7BD"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El sector inmobiliario de 2025 refleja un cambio hacia una construcción más responsable y adaptada a las necesidades humanas y ambientales. Desde tecnologías avanzadas hasta diseños sostenibles, estas tendencias representan una oportunidad para innovar y liderar en un mundo en constante cambio.</w:t>
      </w:r>
    </w:p>
    <w:p w14:paraId="672910FF" w14:textId="234DEE0A" w:rsidR="3E00CFFD" w:rsidRDefault="5A217AB1" w:rsidP="60C4587D">
      <w:pPr>
        <w:spacing w:before="240" w:after="240"/>
        <w:jc w:val="both"/>
        <w:rPr>
          <w:rFonts w:ascii="Calibri" w:eastAsia="Calibri" w:hAnsi="Calibri" w:cs="Calibri"/>
          <w:sz w:val="20"/>
          <w:szCs w:val="20"/>
        </w:rPr>
      </w:pPr>
      <w:r w:rsidRPr="60C4587D">
        <w:rPr>
          <w:rFonts w:ascii="Calibri" w:eastAsia="Calibri" w:hAnsi="Calibri" w:cs="Calibri"/>
          <w:sz w:val="20"/>
          <w:szCs w:val="20"/>
        </w:rPr>
        <w:t xml:space="preserve">Como concluye Turrent: </w:t>
      </w:r>
      <w:r w:rsidRPr="60C4587D">
        <w:rPr>
          <w:rFonts w:ascii="Calibri" w:eastAsia="Calibri" w:hAnsi="Calibri" w:cs="Calibri"/>
          <w:i/>
          <w:iCs/>
          <w:sz w:val="20"/>
          <w:szCs w:val="20"/>
        </w:rPr>
        <w:t>“El reto no es solo construir edificios, sino crear espacios que sean relevantes, sostenibles y capaces de generar un impacto positivo en las personas y el planeta. Estamos construyendo no solo para hoy, sino para las generaciones que vienen”.</w:t>
      </w:r>
    </w:p>
    <w:p w14:paraId="5D6EA537" w14:textId="4A6EE904" w:rsidR="0E9C434F" w:rsidRDefault="55D662A6" w:rsidP="60C4587D">
      <w:pPr>
        <w:jc w:val="both"/>
        <w:rPr>
          <w:rFonts w:ascii="Calibri" w:eastAsia="Calibri" w:hAnsi="Calibri" w:cs="Calibri"/>
          <w:color w:val="000000" w:themeColor="text1"/>
          <w:sz w:val="20"/>
          <w:szCs w:val="20"/>
        </w:rPr>
      </w:pPr>
      <w:r w:rsidRPr="60C4587D">
        <w:rPr>
          <w:rFonts w:ascii="Calibri" w:eastAsia="Calibri" w:hAnsi="Calibri" w:cs="Calibri"/>
          <w:sz w:val="20"/>
          <w:szCs w:val="20"/>
          <w:lang w:val="es"/>
        </w:rPr>
        <w:t>Para saber más sobre este proyecto inmobiliario único en su tipo, agendar una cita y conocer todo aquello que considera </w:t>
      </w:r>
      <w:r w:rsidRPr="60C4587D">
        <w:rPr>
          <w:rFonts w:ascii="Calibri" w:eastAsia="Calibri" w:hAnsi="Calibri" w:cs="Calibri"/>
          <w:b/>
          <w:bCs/>
          <w:i/>
          <w:iCs/>
          <w:sz w:val="20"/>
          <w:szCs w:val="20"/>
          <w:lang w:val="es"/>
        </w:rPr>
        <w:t>Reserva Santa Fe</w:t>
      </w:r>
      <w:r w:rsidRPr="60C4587D">
        <w:rPr>
          <w:rFonts w:ascii="Calibri" w:eastAsia="Calibri" w:hAnsi="Calibri" w:cs="Calibri"/>
          <w:sz w:val="20"/>
          <w:szCs w:val="20"/>
          <w:lang w:val="es"/>
        </w:rPr>
        <w:t>, visita </w:t>
      </w:r>
      <w:r w:rsidRPr="60C4587D">
        <w:rPr>
          <w:rFonts w:ascii="Calibri" w:eastAsia="Calibri" w:hAnsi="Calibri" w:cs="Calibri"/>
          <w:sz w:val="20"/>
          <w:szCs w:val="20"/>
          <w:u w:val="single"/>
          <w:lang w:val="es"/>
        </w:rPr>
        <w:t>www.reservasantafe.com</w:t>
      </w:r>
      <w:r w:rsidRPr="60C4587D">
        <w:rPr>
          <w:rFonts w:ascii="Calibri" w:eastAsia="Calibri" w:hAnsi="Calibri" w:cs="Calibri"/>
          <w:sz w:val="20"/>
          <w:szCs w:val="20"/>
          <w:lang w:val="es"/>
        </w:rPr>
        <w:t xml:space="preserve">, llama al teléfono 55 5966 3533 o vía correo </w:t>
      </w:r>
      <w:hyperlink r:id="rId11">
        <w:r w:rsidRPr="60C4587D">
          <w:rPr>
            <w:rStyle w:val="Hyperlink"/>
            <w:rFonts w:ascii="Calibri" w:eastAsia="Calibri" w:hAnsi="Calibri" w:cs="Calibri"/>
            <w:sz w:val="20"/>
            <w:szCs w:val="20"/>
            <w:lang w:val="es"/>
          </w:rPr>
          <w:t>a info@reservasantafe.com</w:t>
        </w:r>
      </w:hyperlink>
      <w:r w:rsidR="003B5D17" w:rsidRPr="60C4587D">
        <w:rPr>
          <w:rFonts w:ascii="Calibri" w:eastAsia="Calibri" w:hAnsi="Calibri" w:cs="Calibri"/>
          <w:sz w:val="20"/>
          <w:szCs w:val="20"/>
          <w:lang w:val="es"/>
        </w:rPr>
        <w:t xml:space="preserve">. </w:t>
      </w:r>
    </w:p>
    <w:p w14:paraId="0629E413" w14:textId="4B815783" w:rsidR="320B9AC3" w:rsidRDefault="320B9AC3" w:rsidP="404F4FC7">
      <w:pPr>
        <w:rPr>
          <w:rFonts w:ascii="Calibri" w:eastAsia="Calibri" w:hAnsi="Calibri" w:cs="Calibri"/>
          <w:sz w:val="22"/>
          <w:szCs w:val="22"/>
        </w:rPr>
      </w:pPr>
    </w:p>
    <w:sectPr w:rsidR="320B9AC3">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FBFB" w14:textId="77777777" w:rsidR="00983BE8" w:rsidRDefault="00983BE8">
      <w:pPr>
        <w:spacing w:after="0" w:line="240" w:lineRule="auto"/>
      </w:pPr>
      <w:r>
        <w:separator/>
      </w:r>
    </w:p>
  </w:endnote>
  <w:endnote w:type="continuationSeparator" w:id="0">
    <w:p w14:paraId="5950C472" w14:textId="77777777" w:rsidR="00983BE8" w:rsidRDefault="00983BE8">
      <w:pPr>
        <w:spacing w:after="0" w:line="240" w:lineRule="auto"/>
      </w:pPr>
      <w:r>
        <w:continuationSeparator/>
      </w:r>
    </w:p>
  </w:endnote>
  <w:endnote w:type="continuationNotice" w:id="1">
    <w:p w14:paraId="63718794" w14:textId="77777777" w:rsidR="00983BE8" w:rsidRDefault="00983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201FE3" w14:paraId="71F193B5" w14:textId="77777777" w:rsidTr="3B201FE3">
      <w:trPr>
        <w:trHeight w:val="300"/>
      </w:trPr>
      <w:tc>
        <w:tcPr>
          <w:tcW w:w="3005" w:type="dxa"/>
        </w:tcPr>
        <w:p w14:paraId="114F44F0" w14:textId="04653ACA" w:rsidR="3B201FE3" w:rsidRDefault="3B201FE3" w:rsidP="3B201FE3">
          <w:pPr>
            <w:pStyle w:val="Header"/>
            <w:ind w:left="-115"/>
          </w:pPr>
        </w:p>
      </w:tc>
      <w:tc>
        <w:tcPr>
          <w:tcW w:w="3005" w:type="dxa"/>
        </w:tcPr>
        <w:p w14:paraId="2C8B70B5" w14:textId="1F6FE083" w:rsidR="3B201FE3" w:rsidRDefault="3B201FE3" w:rsidP="3B201FE3">
          <w:pPr>
            <w:pStyle w:val="Header"/>
            <w:jc w:val="center"/>
          </w:pPr>
        </w:p>
      </w:tc>
      <w:tc>
        <w:tcPr>
          <w:tcW w:w="3005" w:type="dxa"/>
        </w:tcPr>
        <w:p w14:paraId="7BDD5CB4" w14:textId="1DFD59B1" w:rsidR="3B201FE3" w:rsidRDefault="3B201FE3" w:rsidP="3B201FE3">
          <w:pPr>
            <w:pStyle w:val="Header"/>
            <w:ind w:right="-115"/>
            <w:jc w:val="right"/>
          </w:pPr>
        </w:p>
      </w:tc>
    </w:tr>
  </w:tbl>
  <w:p w14:paraId="6582BBF3" w14:textId="3A1557BD" w:rsidR="3B201FE3" w:rsidRDefault="3B201FE3" w:rsidP="3B20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B096" w14:textId="77777777" w:rsidR="00983BE8" w:rsidRDefault="00983BE8">
      <w:pPr>
        <w:spacing w:after="0" w:line="240" w:lineRule="auto"/>
      </w:pPr>
      <w:r>
        <w:separator/>
      </w:r>
    </w:p>
  </w:footnote>
  <w:footnote w:type="continuationSeparator" w:id="0">
    <w:p w14:paraId="431882DE" w14:textId="77777777" w:rsidR="00983BE8" w:rsidRDefault="00983BE8">
      <w:pPr>
        <w:spacing w:after="0" w:line="240" w:lineRule="auto"/>
      </w:pPr>
      <w:r>
        <w:continuationSeparator/>
      </w:r>
    </w:p>
  </w:footnote>
  <w:footnote w:type="continuationNotice" w:id="1">
    <w:p w14:paraId="15A99AD0" w14:textId="77777777" w:rsidR="00983BE8" w:rsidRDefault="00983B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201FE3" w14:paraId="5DD88B86" w14:textId="77777777" w:rsidTr="3B201FE3">
      <w:trPr>
        <w:trHeight w:val="300"/>
      </w:trPr>
      <w:tc>
        <w:tcPr>
          <w:tcW w:w="3005" w:type="dxa"/>
        </w:tcPr>
        <w:p w14:paraId="0CE5D3CB" w14:textId="4F1C093C" w:rsidR="3B201FE3" w:rsidRDefault="3B201FE3" w:rsidP="3B201FE3">
          <w:pPr>
            <w:pStyle w:val="Header"/>
            <w:ind w:left="-115"/>
          </w:pPr>
        </w:p>
      </w:tc>
      <w:tc>
        <w:tcPr>
          <w:tcW w:w="3005" w:type="dxa"/>
        </w:tcPr>
        <w:p w14:paraId="344B8544" w14:textId="1396C62E" w:rsidR="3B201FE3" w:rsidRDefault="3B201FE3" w:rsidP="3B201FE3">
          <w:pPr>
            <w:pStyle w:val="Header"/>
            <w:jc w:val="center"/>
          </w:pPr>
          <w:r>
            <w:rPr>
              <w:noProof/>
            </w:rPr>
            <w:drawing>
              <wp:inline distT="0" distB="0" distL="0" distR="0" wp14:anchorId="67555F09" wp14:editId="383FBC56">
                <wp:extent cx="1266825" cy="1628775"/>
                <wp:effectExtent l="0" t="0" r="0" b="0"/>
                <wp:docPr id="1404530833" name="Imagen 140453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6825" cy="1628775"/>
                        </a:xfrm>
                        <a:prstGeom prst="rect">
                          <a:avLst/>
                        </a:prstGeom>
                      </pic:spPr>
                    </pic:pic>
                  </a:graphicData>
                </a:graphic>
              </wp:inline>
            </w:drawing>
          </w:r>
        </w:p>
      </w:tc>
      <w:tc>
        <w:tcPr>
          <w:tcW w:w="3005" w:type="dxa"/>
        </w:tcPr>
        <w:p w14:paraId="722EF8FC" w14:textId="3EC1CDE5" w:rsidR="3B201FE3" w:rsidRDefault="3B201FE3" w:rsidP="3B201FE3">
          <w:pPr>
            <w:pStyle w:val="Header"/>
            <w:ind w:right="-115"/>
            <w:jc w:val="right"/>
          </w:pPr>
        </w:p>
      </w:tc>
    </w:tr>
  </w:tbl>
  <w:p w14:paraId="1F3FCD31" w14:textId="3C531734" w:rsidR="3B201FE3" w:rsidRDefault="3B201FE3" w:rsidP="3B201FE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10BD"/>
    <w:multiLevelType w:val="hybridMultilevel"/>
    <w:tmpl w:val="FFFFFFFF"/>
    <w:lvl w:ilvl="0" w:tplc="F0662A18">
      <w:start w:val="1"/>
      <w:numFmt w:val="bullet"/>
      <w:lvlText w:val=""/>
      <w:lvlJc w:val="left"/>
      <w:pPr>
        <w:ind w:left="720" w:hanging="360"/>
      </w:pPr>
      <w:rPr>
        <w:rFonts w:ascii="Symbol" w:hAnsi="Symbol" w:hint="default"/>
      </w:rPr>
    </w:lvl>
    <w:lvl w:ilvl="1" w:tplc="675A7658">
      <w:start w:val="1"/>
      <w:numFmt w:val="bullet"/>
      <w:lvlText w:val="o"/>
      <w:lvlJc w:val="left"/>
      <w:pPr>
        <w:ind w:left="1440" w:hanging="360"/>
      </w:pPr>
      <w:rPr>
        <w:rFonts w:ascii="Courier New" w:hAnsi="Courier New" w:hint="default"/>
      </w:rPr>
    </w:lvl>
    <w:lvl w:ilvl="2" w:tplc="7D5CA372">
      <w:start w:val="1"/>
      <w:numFmt w:val="bullet"/>
      <w:lvlText w:val=""/>
      <w:lvlJc w:val="left"/>
      <w:pPr>
        <w:ind w:left="2160" w:hanging="360"/>
      </w:pPr>
      <w:rPr>
        <w:rFonts w:ascii="Wingdings" w:hAnsi="Wingdings" w:hint="default"/>
      </w:rPr>
    </w:lvl>
    <w:lvl w:ilvl="3" w:tplc="FA7856C2">
      <w:start w:val="1"/>
      <w:numFmt w:val="bullet"/>
      <w:lvlText w:val=""/>
      <w:lvlJc w:val="left"/>
      <w:pPr>
        <w:ind w:left="2880" w:hanging="360"/>
      </w:pPr>
      <w:rPr>
        <w:rFonts w:ascii="Symbol" w:hAnsi="Symbol" w:hint="default"/>
      </w:rPr>
    </w:lvl>
    <w:lvl w:ilvl="4" w:tplc="B1B4DB44">
      <w:start w:val="1"/>
      <w:numFmt w:val="bullet"/>
      <w:lvlText w:val="o"/>
      <w:lvlJc w:val="left"/>
      <w:pPr>
        <w:ind w:left="3600" w:hanging="360"/>
      </w:pPr>
      <w:rPr>
        <w:rFonts w:ascii="Courier New" w:hAnsi="Courier New" w:hint="default"/>
      </w:rPr>
    </w:lvl>
    <w:lvl w:ilvl="5" w:tplc="67DAA274">
      <w:start w:val="1"/>
      <w:numFmt w:val="bullet"/>
      <w:lvlText w:val=""/>
      <w:lvlJc w:val="left"/>
      <w:pPr>
        <w:ind w:left="4320" w:hanging="360"/>
      </w:pPr>
      <w:rPr>
        <w:rFonts w:ascii="Wingdings" w:hAnsi="Wingdings" w:hint="default"/>
      </w:rPr>
    </w:lvl>
    <w:lvl w:ilvl="6" w:tplc="B31605F8">
      <w:start w:val="1"/>
      <w:numFmt w:val="bullet"/>
      <w:lvlText w:val=""/>
      <w:lvlJc w:val="left"/>
      <w:pPr>
        <w:ind w:left="5040" w:hanging="360"/>
      </w:pPr>
      <w:rPr>
        <w:rFonts w:ascii="Symbol" w:hAnsi="Symbol" w:hint="default"/>
      </w:rPr>
    </w:lvl>
    <w:lvl w:ilvl="7" w:tplc="513AA742">
      <w:start w:val="1"/>
      <w:numFmt w:val="bullet"/>
      <w:lvlText w:val="o"/>
      <w:lvlJc w:val="left"/>
      <w:pPr>
        <w:ind w:left="5760" w:hanging="360"/>
      </w:pPr>
      <w:rPr>
        <w:rFonts w:ascii="Courier New" w:hAnsi="Courier New" w:hint="default"/>
      </w:rPr>
    </w:lvl>
    <w:lvl w:ilvl="8" w:tplc="27E27A42">
      <w:start w:val="1"/>
      <w:numFmt w:val="bullet"/>
      <w:lvlText w:val=""/>
      <w:lvlJc w:val="left"/>
      <w:pPr>
        <w:ind w:left="6480" w:hanging="360"/>
      </w:pPr>
      <w:rPr>
        <w:rFonts w:ascii="Wingdings" w:hAnsi="Wingdings" w:hint="default"/>
      </w:rPr>
    </w:lvl>
  </w:abstractNum>
  <w:abstractNum w:abstractNumId="1" w15:restartNumberingAfterBreak="0">
    <w:nsid w:val="6836E965"/>
    <w:multiLevelType w:val="hybridMultilevel"/>
    <w:tmpl w:val="FFFFFFFF"/>
    <w:lvl w:ilvl="0" w:tplc="7EFC3188">
      <w:start w:val="1"/>
      <w:numFmt w:val="bullet"/>
      <w:lvlText w:val=""/>
      <w:lvlJc w:val="left"/>
      <w:pPr>
        <w:ind w:left="720" w:hanging="360"/>
      </w:pPr>
      <w:rPr>
        <w:rFonts w:ascii="Symbol" w:hAnsi="Symbol" w:hint="default"/>
      </w:rPr>
    </w:lvl>
    <w:lvl w:ilvl="1" w:tplc="82547866">
      <w:start w:val="1"/>
      <w:numFmt w:val="bullet"/>
      <w:lvlText w:val="o"/>
      <w:lvlJc w:val="left"/>
      <w:pPr>
        <w:ind w:left="1440" w:hanging="360"/>
      </w:pPr>
      <w:rPr>
        <w:rFonts w:ascii="Courier New" w:hAnsi="Courier New" w:hint="default"/>
      </w:rPr>
    </w:lvl>
    <w:lvl w:ilvl="2" w:tplc="84CAB2AA">
      <w:start w:val="1"/>
      <w:numFmt w:val="bullet"/>
      <w:lvlText w:val=""/>
      <w:lvlJc w:val="left"/>
      <w:pPr>
        <w:ind w:left="2160" w:hanging="360"/>
      </w:pPr>
      <w:rPr>
        <w:rFonts w:ascii="Wingdings" w:hAnsi="Wingdings" w:hint="default"/>
      </w:rPr>
    </w:lvl>
    <w:lvl w:ilvl="3" w:tplc="C9CE7112">
      <w:start w:val="1"/>
      <w:numFmt w:val="bullet"/>
      <w:lvlText w:val=""/>
      <w:lvlJc w:val="left"/>
      <w:pPr>
        <w:ind w:left="2880" w:hanging="360"/>
      </w:pPr>
      <w:rPr>
        <w:rFonts w:ascii="Symbol" w:hAnsi="Symbol" w:hint="default"/>
      </w:rPr>
    </w:lvl>
    <w:lvl w:ilvl="4" w:tplc="38102AFC">
      <w:start w:val="1"/>
      <w:numFmt w:val="bullet"/>
      <w:lvlText w:val="o"/>
      <w:lvlJc w:val="left"/>
      <w:pPr>
        <w:ind w:left="3600" w:hanging="360"/>
      </w:pPr>
      <w:rPr>
        <w:rFonts w:ascii="Courier New" w:hAnsi="Courier New" w:hint="default"/>
      </w:rPr>
    </w:lvl>
    <w:lvl w:ilvl="5" w:tplc="724094D4">
      <w:start w:val="1"/>
      <w:numFmt w:val="bullet"/>
      <w:lvlText w:val=""/>
      <w:lvlJc w:val="left"/>
      <w:pPr>
        <w:ind w:left="4320" w:hanging="360"/>
      </w:pPr>
      <w:rPr>
        <w:rFonts w:ascii="Wingdings" w:hAnsi="Wingdings" w:hint="default"/>
      </w:rPr>
    </w:lvl>
    <w:lvl w:ilvl="6" w:tplc="0E0AEC9A">
      <w:start w:val="1"/>
      <w:numFmt w:val="bullet"/>
      <w:lvlText w:val=""/>
      <w:lvlJc w:val="left"/>
      <w:pPr>
        <w:ind w:left="5040" w:hanging="360"/>
      </w:pPr>
      <w:rPr>
        <w:rFonts w:ascii="Symbol" w:hAnsi="Symbol" w:hint="default"/>
      </w:rPr>
    </w:lvl>
    <w:lvl w:ilvl="7" w:tplc="5BDEED16">
      <w:start w:val="1"/>
      <w:numFmt w:val="bullet"/>
      <w:lvlText w:val="o"/>
      <w:lvlJc w:val="left"/>
      <w:pPr>
        <w:ind w:left="5760" w:hanging="360"/>
      </w:pPr>
      <w:rPr>
        <w:rFonts w:ascii="Courier New" w:hAnsi="Courier New" w:hint="default"/>
      </w:rPr>
    </w:lvl>
    <w:lvl w:ilvl="8" w:tplc="005AF082">
      <w:start w:val="1"/>
      <w:numFmt w:val="bullet"/>
      <w:lvlText w:val=""/>
      <w:lvlJc w:val="left"/>
      <w:pPr>
        <w:ind w:left="6480" w:hanging="360"/>
      </w:pPr>
      <w:rPr>
        <w:rFonts w:ascii="Wingdings" w:hAnsi="Wingdings" w:hint="default"/>
      </w:rPr>
    </w:lvl>
  </w:abstractNum>
  <w:num w:numId="1" w16cid:durableId="1033457683">
    <w:abstractNumId w:val="1"/>
  </w:num>
  <w:num w:numId="2" w16cid:durableId="155538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69C37"/>
    <w:rsid w:val="00160635"/>
    <w:rsid w:val="001E3F1F"/>
    <w:rsid w:val="0025162C"/>
    <w:rsid w:val="00372607"/>
    <w:rsid w:val="003B2263"/>
    <w:rsid w:val="003B5D17"/>
    <w:rsid w:val="003E6DD0"/>
    <w:rsid w:val="003F134C"/>
    <w:rsid w:val="003F1F1F"/>
    <w:rsid w:val="0047B12D"/>
    <w:rsid w:val="00571D0A"/>
    <w:rsid w:val="008A08B8"/>
    <w:rsid w:val="008D0253"/>
    <w:rsid w:val="008D2D4F"/>
    <w:rsid w:val="0092473C"/>
    <w:rsid w:val="00964A5E"/>
    <w:rsid w:val="00983BE8"/>
    <w:rsid w:val="00984EF6"/>
    <w:rsid w:val="00A845B5"/>
    <w:rsid w:val="00AF55B6"/>
    <w:rsid w:val="00B06D6D"/>
    <w:rsid w:val="00B35A19"/>
    <w:rsid w:val="00CC674E"/>
    <w:rsid w:val="00CF0875"/>
    <w:rsid w:val="00D6021B"/>
    <w:rsid w:val="00E63A19"/>
    <w:rsid w:val="00FC3815"/>
    <w:rsid w:val="00FD27A9"/>
    <w:rsid w:val="015D63C0"/>
    <w:rsid w:val="02CCF562"/>
    <w:rsid w:val="0341E134"/>
    <w:rsid w:val="0346FD65"/>
    <w:rsid w:val="04622A47"/>
    <w:rsid w:val="04E4B865"/>
    <w:rsid w:val="04EEEA21"/>
    <w:rsid w:val="04F291FD"/>
    <w:rsid w:val="0556F3EA"/>
    <w:rsid w:val="06192FAF"/>
    <w:rsid w:val="06884ACF"/>
    <w:rsid w:val="06F5E97F"/>
    <w:rsid w:val="075D54A7"/>
    <w:rsid w:val="0779AB03"/>
    <w:rsid w:val="086721E9"/>
    <w:rsid w:val="088D8FE6"/>
    <w:rsid w:val="08E58AB7"/>
    <w:rsid w:val="0A730906"/>
    <w:rsid w:val="0A89EAC8"/>
    <w:rsid w:val="0B34949A"/>
    <w:rsid w:val="0C5DE7E1"/>
    <w:rsid w:val="0DB726A9"/>
    <w:rsid w:val="0E6FDE59"/>
    <w:rsid w:val="0E915E98"/>
    <w:rsid w:val="0E99A52C"/>
    <w:rsid w:val="0E9C434F"/>
    <w:rsid w:val="0F870FA8"/>
    <w:rsid w:val="1013C50F"/>
    <w:rsid w:val="10F3F271"/>
    <w:rsid w:val="110A2102"/>
    <w:rsid w:val="114FE30D"/>
    <w:rsid w:val="1179A085"/>
    <w:rsid w:val="126AD016"/>
    <w:rsid w:val="12883307"/>
    <w:rsid w:val="13999F07"/>
    <w:rsid w:val="13CAC496"/>
    <w:rsid w:val="149C73E9"/>
    <w:rsid w:val="14AD7130"/>
    <w:rsid w:val="15519BCB"/>
    <w:rsid w:val="158F10C1"/>
    <w:rsid w:val="16C971DE"/>
    <w:rsid w:val="17800E58"/>
    <w:rsid w:val="186F2919"/>
    <w:rsid w:val="1914EAB3"/>
    <w:rsid w:val="192B8DB8"/>
    <w:rsid w:val="1A23213F"/>
    <w:rsid w:val="1A44F56D"/>
    <w:rsid w:val="1B059F7A"/>
    <w:rsid w:val="1B19FF1A"/>
    <w:rsid w:val="1B2061D0"/>
    <w:rsid w:val="1B4C1294"/>
    <w:rsid w:val="1B850AA1"/>
    <w:rsid w:val="1BB2206B"/>
    <w:rsid w:val="1BB2F813"/>
    <w:rsid w:val="1BB66D37"/>
    <w:rsid w:val="1C585666"/>
    <w:rsid w:val="1DE57C74"/>
    <w:rsid w:val="1E2A6170"/>
    <w:rsid w:val="1EDE1A1B"/>
    <w:rsid w:val="1F698595"/>
    <w:rsid w:val="1FFF1E43"/>
    <w:rsid w:val="21087DBB"/>
    <w:rsid w:val="21562872"/>
    <w:rsid w:val="21736BF7"/>
    <w:rsid w:val="21E63EEC"/>
    <w:rsid w:val="237A84DF"/>
    <w:rsid w:val="24D1CD8B"/>
    <w:rsid w:val="25530C8E"/>
    <w:rsid w:val="2593AB3F"/>
    <w:rsid w:val="26D37691"/>
    <w:rsid w:val="270E7E69"/>
    <w:rsid w:val="273513E5"/>
    <w:rsid w:val="285FAF6C"/>
    <w:rsid w:val="288CE57E"/>
    <w:rsid w:val="28A741DF"/>
    <w:rsid w:val="28F96296"/>
    <w:rsid w:val="295BA92F"/>
    <w:rsid w:val="295C6535"/>
    <w:rsid w:val="29E29D12"/>
    <w:rsid w:val="2A5E30B4"/>
    <w:rsid w:val="2A986031"/>
    <w:rsid w:val="2B45280F"/>
    <w:rsid w:val="2B58A101"/>
    <w:rsid w:val="2D0E4881"/>
    <w:rsid w:val="2ED481DF"/>
    <w:rsid w:val="2EF7625F"/>
    <w:rsid w:val="2F70A4CF"/>
    <w:rsid w:val="2FE74D65"/>
    <w:rsid w:val="302699B3"/>
    <w:rsid w:val="3062A607"/>
    <w:rsid w:val="30AB7F91"/>
    <w:rsid w:val="30CED928"/>
    <w:rsid w:val="30F26ABD"/>
    <w:rsid w:val="318595AF"/>
    <w:rsid w:val="319B7839"/>
    <w:rsid w:val="31FDB739"/>
    <w:rsid w:val="320B9AC3"/>
    <w:rsid w:val="32105F52"/>
    <w:rsid w:val="3274FF5C"/>
    <w:rsid w:val="3280D622"/>
    <w:rsid w:val="32BB7780"/>
    <w:rsid w:val="32E66DD4"/>
    <w:rsid w:val="33093F62"/>
    <w:rsid w:val="331689CB"/>
    <w:rsid w:val="33B19C3D"/>
    <w:rsid w:val="33B279F9"/>
    <w:rsid w:val="34CCFFCC"/>
    <w:rsid w:val="35C468C5"/>
    <w:rsid w:val="360C8CB5"/>
    <w:rsid w:val="36E32D6B"/>
    <w:rsid w:val="376A1AB4"/>
    <w:rsid w:val="382C1D4F"/>
    <w:rsid w:val="38A96600"/>
    <w:rsid w:val="38D6B9DD"/>
    <w:rsid w:val="3904E7CA"/>
    <w:rsid w:val="3A3E93C4"/>
    <w:rsid w:val="3A742406"/>
    <w:rsid w:val="3B201FE3"/>
    <w:rsid w:val="3B2C521C"/>
    <w:rsid w:val="3BDA0002"/>
    <w:rsid w:val="3D9329AE"/>
    <w:rsid w:val="3DCF474F"/>
    <w:rsid w:val="3E00CFFD"/>
    <w:rsid w:val="3E38AAAC"/>
    <w:rsid w:val="3E5689D4"/>
    <w:rsid w:val="3E72518B"/>
    <w:rsid w:val="3EECA1EE"/>
    <w:rsid w:val="3F259AFE"/>
    <w:rsid w:val="3FA8B644"/>
    <w:rsid w:val="3FC5214D"/>
    <w:rsid w:val="404F4FC7"/>
    <w:rsid w:val="408A50A8"/>
    <w:rsid w:val="40DCF99C"/>
    <w:rsid w:val="41809BA7"/>
    <w:rsid w:val="41AE4C86"/>
    <w:rsid w:val="429E542B"/>
    <w:rsid w:val="4334658F"/>
    <w:rsid w:val="43539B31"/>
    <w:rsid w:val="46642C32"/>
    <w:rsid w:val="4670AD77"/>
    <w:rsid w:val="46B03E47"/>
    <w:rsid w:val="46D600F5"/>
    <w:rsid w:val="47181BE0"/>
    <w:rsid w:val="47196381"/>
    <w:rsid w:val="47419D13"/>
    <w:rsid w:val="4797C858"/>
    <w:rsid w:val="47CD720D"/>
    <w:rsid w:val="483026A6"/>
    <w:rsid w:val="4887A376"/>
    <w:rsid w:val="49969C37"/>
    <w:rsid w:val="499B7FF7"/>
    <w:rsid w:val="49ABC9E4"/>
    <w:rsid w:val="49D119C3"/>
    <w:rsid w:val="4AF4EE83"/>
    <w:rsid w:val="4B1B5F7C"/>
    <w:rsid w:val="4B38FCB8"/>
    <w:rsid w:val="4BEC61B5"/>
    <w:rsid w:val="4BED7DBD"/>
    <w:rsid w:val="4CE4C2DE"/>
    <w:rsid w:val="4D2F7158"/>
    <w:rsid w:val="4D8BB07C"/>
    <w:rsid w:val="4DF97480"/>
    <w:rsid w:val="4DFB2F71"/>
    <w:rsid w:val="4E5CD490"/>
    <w:rsid w:val="4E84BC28"/>
    <w:rsid w:val="4E957600"/>
    <w:rsid w:val="4E98C5CA"/>
    <w:rsid w:val="4EA8323D"/>
    <w:rsid w:val="4EB5CA09"/>
    <w:rsid w:val="4F3AF7B2"/>
    <w:rsid w:val="4FA61DBA"/>
    <w:rsid w:val="4FA86DD9"/>
    <w:rsid w:val="5012EA7B"/>
    <w:rsid w:val="512495BB"/>
    <w:rsid w:val="5347AB70"/>
    <w:rsid w:val="53876B00"/>
    <w:rsid w:val="53D07E93"/>
    <w:rsid w:val="5410106B"/>
    <w:rsid w:val="544A61F0"/>
    <w:rsid w:val="54AF52CF"/>
    <w:rsid w:val="55977BC7"/>
    <w:rsid w:val="55D662A6"/>
    <w:rsid w:val="58E68421"/>
    <w:rsid w:val="599BE437"/>
    <w:rsid w:val="5A217AB1"/>
    <w:rsid w:val="5BCFB640"/>
    <w:rsid w:val="5E167B52"/>
    <w:rsid w:val="5E50DC81"/>
    <w:rsid w:val="5E6F5E95"/>
    <w:rsid w:val="60102883"/>
    <w:rsid w:val="602658DB"/>
    <w:rsid w:val="6083655B"/>
    <w:rsid w:val="60C4587D"/>
    <w:rsid w:val="60D2FC7D"/>
    <w:rsid w:val="60D4A467"/>
    <w:rsid w:val="60DAD0C8"/>
    <w:rsid w:val="632B06B1"/>
    <w:rsid w:val="640E1D49"/>
    <w:rsid w:val="6416A924"/>
    <w:rsid w:val="647FCCCD"/>
    <w:rsid w:val="64932D42"/>
    <w:rsid w:val="658958D1"/>
    <w:rsid w:val="65E0FEC1"/>
    <w:rsid w:val="6634E8B6"/>
    <w:rsid w:val="66A41938"/>
    <w:rsid w:val="66C7E2BF"/>
    <w:rsid w:val="66F4F3C6"/>
    <w:rsid w:val="672E2C6E"/>
    <w:rsid w:val="67BA907F"/>
    <w:rsid w:val="684C49E6"/>
    <w:rsid w:val="696528F7"/>
    <w:rsid w:val="6979027A"/>
    <w:rsid w:val="6A05A269"/>
    <w:rsid w:val="6BA368F4"/>
    <w:rsid w:val="6BEBE905"/>
    <w:rsid w:val="6C9AEA33"/>
    <w:rsid w:val="6DD292FD"/>
    <w:rsid w:val="6E421018"/>
    <w:rsid w:val="6F316A9F"/>
    <w:rsid w:val="6FA590F2"/>
    <w:rsid w:val="707E820A"/>
    <w:rsid w:val="727C7657"/>
    <w:rsid w:val="732D1E6E"/>
    <w:rsid w:val="73B3AF85"/>
    <w:rsid w:val="74326750"/>
    <w:rsid w:val="755BE2DE"/>
    <w:rsid w:val="75AC47C6"/>
    <w:rsid w:val="75FA4F3A"/>
    <w:rsid w:val="75FBFC12"/>
    <w:rsid w:val="771A1AE8"/>
    <w:rsid w:val="77466247"/>
    <w:rsid w:val="774A1D86"/>
    <w:rsid w:val="77AED7D2"/>
    <w:rsid w:val="77B0B069"/>
    <w:rsid w:val="78447F1C"/>
    <w:rsid w:val="78E2FB0B"/>
    <w:rsid w:val="78F366AD"/>
    <w:rsid w:val="79269C78"/>
    <w:rsid w:val="7A6034A7"/>
    <w:rsid w:val="7AABEDD2"/>
    <w:rsid w:val="7B13E754"/>
    <w:rsid w:val="7B39EB78"/>
    <w:rsid w:val="7B8555BA"/>
    <w:rsid w:val="7B9D15B7"/>
    <w:rsid w:val="7BE76C2D"/>
    <w:rsid w:val="7CD60435"/>
    <w:rsid w:val="7D774E03"/>
    <w:rsid w:val="7DD0D878"/>
    <w:rsid w:val="7E26EA1D"/>
    <w:rsid w:val="7E2D7FB9"/>
    <w:rsid w:val="7EB08B11"/>
    <w:rsid w:val="7FFE8E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EEEF"/>
  <w15:chartTrackingRefBased/>
  <w15:docId w15:val="{2669A8F0-ED58-4FD1-88A0-BB04EDF7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160;info@reservasantaf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ep.org/resources/emissions-gap-report-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5" ma:contentTypeDescription="Create a new document." ma:contentTypeScope="" ma:versionID="1fae0b6022cddd71a1e39f6c165a843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e205ab4bdad97e04f8c56ff82c3d0bce"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E79CA-5731-48C1-A7E0-70CBD21B5E87}">
  <ds:schemaRefs>
    <ds:schemaRef ds:uri="http://schemas.microsoft.com/sharepoint/v3/contenttype/forms"/>
  </ds:schemaRefs>
</ds:datastoreItem>
</file>

<file path=customXml/itemProps2.xml><?xml version="1.0" encoding="utf-8"?>
<ds:datastoreItem xmlns:ds="http://schemas.openxmlformats.org/officeDocument/2006/customXml" ds:itemID="{AFB25956-6653-42D9-B903-6B2FFF1BD192}">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3.xml><?xml version="1.0" encoding="utf-8"?>
<ds:datastoreItem xmlns:ds="http://schemas.openxmlformats.org/officeDocument/2006/customXml" ds:itemID="{8D344777-FD4F-4F06-AC39-77ED846C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Yazmin Veloz Romero</dc:creator>
  <cp:keywords/>
  <dc:description/>
  <cp:lastModifiedBy>Ximena Ruiz</cp:lastModifiedBy>
  <cp:revision>2</cp:revision>
  <dcterms:created xsi:type="dcterms:W3CDTF">2025-01-07T16:53:00Z</dcterms:created>
  <dcterms:modified xsi:type="dcterms:W3CDTF">2025-01-07T16:53:00Z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